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240" w:after="16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drawing>
          <wp:anchor distT="0" distB="0" distL="114300" distR="114300" simplePos="0" relativeHeight="14" behindDoc="0" locked="0" layoutInCell="0" allowOverlap="1">
            <wp:simplePos x="0" y="0"/>
            <wp:positionH relativeFrom="column">
              <wp:posOffset>-1080135</wp:posOffset>
            </wp:positionH>
            <wp:positionV relativeFrom="page">
              <wp:posOffset>9525</wp:posOffset>
            </wp:positionV>
            <wp:extent cx="7541895" cy="1066736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31690213"/>
      <w:bookmarkEnd w:id="0"/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COMPOSIÇÃO DO CONSELHO DE ADMINISTRAÇÃO DA INSTITUIÇÃO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Luiz Egídio Galetti – Presidente do Conselho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Carlos Alberto Brands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Eduardo Ferreira Fernandes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Marcelo José Ataídes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Ricardo Bonacin Pires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Valdinei Marques Oliveira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Diógenes Alves Nascimento - Membro</w:t>
      </w:r>
    </w:p>
    <w:p>
      <w:pPr>
        <w:pStyle w:val="Normal"/>
        <w:spacing w:lineRule="auto" w:line="360" w:before="240" w:after="1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COMPOSIÇÃO DO CONSELHO FISCAL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Membros Titulares: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Cleiber de Fátima Ferreira Lima Gonçalves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Edson Alves da Silva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Ana Rosa Bueno – Membro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Membros Suplentes: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Fabrício Gonçalves Teixeira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Adalberto José da Silva – Membro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Ari Elias Silva Júnior – Membro</w:t>
      </w:r>
    </w:p>
    <w:p>
      <w:pPr>
        <w:pStyle w:val="Normal"/>
        <w:spacing w:lineRule="auto" w:line="360" w:before="240" w:after="1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COMPOSIÇÃO DA DIRETORIA ESTATUTÁRIA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Aluísio Parmezani Pancracio – Diretor Presidente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Daniel de Albuquerque Pinheiro - Diretor Vice – Presidente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Heliar Celso Milani - Diretor Financeiro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Suzy Siqueira de Souza - Diretor Técnico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Reinaldo Caetano da Silva – Diretor Executivo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Henrique Hiroto Naoe - Diretor Administrativo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Janquiel José Marodin - Diretor de Relações Institucionais</w:t>
      </w:r>
    </w:p>
    <w:p>
      <w:pPr>
        <w:pStyle w:val="Normal"/>
        <w:spacing w:lineRule="auto" w:line="360" w:before="240" w:after="160"/>
        <w:jc w:val="center"/>
        <w:rPr>
          <w:rFonts w:ascii="Arial" w:hAnsi="Arial" w:cs="Arial"/>
        </w:rPr>
      </w:pPr>
      <w:r>
        <w:rPr>
          <w:rFonts w:cs="Arial" w:ascii="Arial" w:hAnsi="Arial"/>
        </w:rPr>
        <w:t>Benjamin José Pinto de Oliveira - Diretor de Desenvolvimento Organizacional</w:t>
      </w:r>
    </w:p>
    <w:p>
      <w:pPr>
        <w:pStyle w:val="Normal"/>
        <w:spacing w:lineRule="auto" w:line="360" w:before="240" w:after="1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SUPERINTENDÊNCIAS DO IPGSE – UNIDADE GESTORA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Romero Leão Giovannetti – Superintendente Administrativo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Diógenes Alves Nascimento – Superintendente Financeiro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Loianny Severo Soares de Almeira – Diretora de Operações e Logística</w:t>
      </w:r>
    </w:p>
    <w:p>
      <w:pPr>
        <w:pStyle w:val="Normal"/>
        <w:spacing w:lineRule="auto" w:line="360" w:before="240" w:after="1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COMPOSIÇÃO DA DIRETORIA – UNIDADE GERIDA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UNIDADE HOSPITALAR: HERSO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bookmarkStart w:id="1" w:name="_Hlk195168629"/>
      <w:r>
        <w:rPr>
          <w:rFonts w:cs="Arial" w:ascii="Arial" w:hAnsi="Arial"/>
        </w:rPr>
        <w:t xml:space="preserve">Ubyratan Gonzaga Coelho </w:t>
      </w:r>
      <w:bookmarkEnd w:id="1"/>
      <w:r>
        <w:rPr>
          <w:rFonts w:cs="Arial" w:ascii="Arial" w:hAnsi="Arial"/>
        </w:rPr>
        <w:t>– Diretor Geral – Acumulando função de Diretor Técnico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Ariany Cristina Marques Silva – Diretora Administrativa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Lidiane Vieira de Souza da Mota – Gestora de Enfermagem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Tiago Antunes Caixeta – Gerente de Atendimento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spacing w:before="0" w:after="0"/>
            <w:jc w:val="center"/>
            <w:rPr>
              <w:rFonts w:ascii="Arial" w:hAnsi="Arial" w:cs="Arial"/>
              <w:b/>
              <w:bCs/>
              <w:color w:val="auto"/>
              <w:sz w:val="22"/>
              <w:szCs w:val="22"/>
            </w:rPr>
          </w:pPr>
          <w:r>
            <w:br w:type="page"/>
          </w:r>
          <w:r>
            <w:rPr>
              <w:rFonts w:cs="Arial" w:ascii="Arial" w:hAnsi="Arial"/>
              <w:b/>
              <w:bCs/>
              <w:color w:val="auto"/>
              <w:sz w:val="22"/>
              <w:szCs w:val="22"/>
            </w:rPr>
            <w:t>SUMÁRIO</w:t>
          </w:r>
        </w:p>
        <w:p>
          <w:pPr>
            <w:pStyle w:val="Normal"/>
            <w:rPr>
              <w:rFonts w:ascii="Arial" w:hAnsi="Arial" w:cs="Arial"/>
              <w:lang w:eastAsia="pt-BR"/>
            </w:rPr>
          </w:pPr>
          <w:r>
            <w:rPr>
              <w:rFonts w:cs="Arial" w:ascii="Arial" w:hAnsi="Arial"/>
              <w:lang w:eastAsia="pt-BR"/>
            </w:rPr>
          </w:r>
        </w:p>
        <w:p>
          <w:pPr>
            <w:pStyle w:val="TOC2"/>
            <w:rPr>
              <w:rFonts w:eastAsia="Arial" w:eastAsiaTheme="minorEastAsia"/>
              <w:lang w:eastAsia="pt-BR"/>
            </w:rPr>
          </w:pPr>
          <w:r>
            <w:fldChar w:fldCharType="begin"/>
          </w:r>
          <w:r>
            <w:rPr>
              <w:rStyle w:val="Vnculodendice"/>
              <w:rFonts w:cs="Arial" w:ascii="Arial" w:hAnsi="Arial"/>
              <w:b/>
              <w:bCs/>
              <w:webHidden/>
            </w:rPr>
            <w:instrText xml:space="preserve"> TOC \z \o "1-4" \u \h</w:instrText>
          </w:r>
          <w:r>
            <w:rPr>
              <w:rStyle w:val="Vnculodendice"/>
              <w:rFonts w:cs="Arial" w:ascii="Arial" w:hAnsi="Arial"/>
              <w:b/>
              <w:bCs/>
              <w:webHidden/>
            </w:rPr>
            <w:fldChar w:fldCharType="separate"/>
          </w:r>
          <w:hyperlink w:anchor="_Toc236814292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1.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  <w:shd w:fill="FFFFFF" w:val="clear"/>
              </w:rPr>
              <w:t>APRESENTAÇÃO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Arial" w:eastAsiaTheme="minorEastAsia"/>
              <w:lang w:eastAsia="pt-BR"/>
            </w:rPr>
          </w:pPr>
          <w:hyperlink w:anchor="_Toc236814293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2.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  <w:shd w:fill="FFFFFF" w:val="clear"/>
              </w:rPr>
              <w:t>IDENTIFICAÇÃO E PERFIL DO HOSPITAL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Arial" w:eastAsiaTheme="minorEastAsia"/>
              <w:lang w:eastAsia="pt-BR"/>
            </w:rPr>
          </w:pPr>
          <w:hyperlink w:anchor="_Toc236814294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  <w:shd w:fill="FFFFFF" w:val="clear"/>
              </w:rPr>
              <w:t>INDICADORES ESTATÍSTICOS QUE PERMITAM AVALIAÇÃO QUANTITATIVA E QUALITATIVA DO DESEMPENHO E DO CUMPRIMENTO DAS METAS PACTUADAS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Arial" w:cs="Arial" w:asciiTheme="minorHAnsi" w:cstheme="minorBidi" w:eastAsiaTheme="minorEastAsia" w:hAnsiTheme="minorHAnsi"/>
              <w:lang w:eastAsia="pt-BR"/>
            </w:rPr>
          </w:pPr>
          <w:hyperlink w:anchor="_Toc236814295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 INDICADORES DE PRODUÇÃO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296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3.1.1 Internação (Saídas Hospitalares)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297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3.1.2 Cirurgias Programadas / Eletivas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298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3.1.3 Atendimento Ambulatorial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299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3.1.4 Serviço de Apoio Diagnóstico e Terapêutico - SADT (Externo)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_Toc236814299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0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3.1.5 Leito dia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1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3.1.6 SADT Interno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Arial" w:cs="Arial" w:asciiTheme="minorHAnsi" w:cstheme="minorBidi" w:eastAsiaTheme="minorEastAsia" w:hAnsiTheme="minorHAnsi"/>
              <w:lang w:eastAsia="pt-BR"/>
            </w:rPr>
          </w:pPr>
          <w:hyperlink w:anchor="_Toc236814302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 INDICADORES DE DESEMPENHO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3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3.2.1 Taxa de Ocupação Hospitalar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4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3.2.2 Média de Permanência Hospitalar (dias)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5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3.2.3 Índice de Intervalo de Substituição (dias)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6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3.2.4 Taxa de Readmissão Hospitalar pelo mesmo CID (em até 29 dias)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7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3.2.5 Taxa de Readmissão em UTI em até 48 horas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8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3.2.6 Percentual de Ocorrência de Glosas no SIH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09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3.2.7 Percentual de Suspensão de Cirurgias Eletivas por condições operacionais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_Toc236814309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0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3.2.8 Percentual de cirurgias eletivas realizadas com TMAT expirado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1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3.2.9 Percentual de exames de imagem com resultado entregue em até 10 dias.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2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3.2.10 Percentual de casos de doenças/agravos/eventos de notificação compulsória imediata (DAEI) digitados oportunamente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3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3.2.11 Percentual de casos de doenças/agravos/eventos de notificação compulsória imediata (DAEI) investigados oportunamente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_Toc236814313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4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3.2.12 Taxa de perda financeira por vencimento de medicamentos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_Toc236814314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5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3.2.13 Taxa de acurácia do estoque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_Toc236814315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8635" w:leader="dot"/>
            </w:tabs>
            <w:rPr>
              <w:rFonts w:eastAsia="Arial" w:eastAsiaTheme="minorEastAsia"/>
              <w:lang w:eastAsia="pt-BR"/>
            </w:rPr>
          </w:pPr>
          <w:hyperlink w:anchor="_Toc236814316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3.2.14 Taxa de aceitabilidade das intervenções farmacêuticas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_Toc236814316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Arial" w:eastAsiaTheme="minorEastAsia"/>
              <w:lang w:eastAsia="pt-BR"/>
            </w:rPr>
          </w:pPr>
          <w:hyperlink w:anchor="_Toc236814317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4.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</w:rPr>
              <w:t>OUVIDORIA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_Toc236814317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Arial" w:eastAsiaTheme="minorEastAsia"/>
              <w:lang w:eastAsia="pt-BR"/>
            </w:rPr>
          </w:pPr>
          <w:hyperlink w:anchor="_Toc236814318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5.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  <w:shd w:fill="FFFFFF" w:val="clear"/>
              </w:rPr>
              <w:t>EVENTOS, AÇÕES E IMPACTOS BENEFICIO SOCIAL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_Toc236814318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Arial" w:eastAsiaTheme="minorEastAsia"/>
              <w:lang w:eastAsia="pt-BR"/>
            </w:rPr>
          </w:pPr>
          <w:hyperlink w:anchor="_Toc236814319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6.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  <w:shd w:fill="FFFFFF" w:val="clear"/>
              </w:rPr>
              <w:t>ASPECTOS FINANCEIROS E CONTÁBEIS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_Toc236814319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Arial" w:cs="Arial" w:asciiTheme="minorHAnsi" w:cstheme="minorBidi" w:eastAsiaTheme="minorEastAsia" w:hAnsiTheme="minorHAnsi"/>
              <w:lang w:eastAsia="pt-BR"/>
            </w:rPr>
          </w:pPr>
          <w:hyperlink w:anchor="_Toc236814320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6.1</w:t>
            </w:r>
            <w:r>
              <w:rPr>
                <w:rStyle w:val="Vnculodendice"/>
                <w:rFonts w:eastAsia="Arial" w:cs="Arial" w:ascii="Calibri" w:hAnsi="Calibri" w:asciiTheme="minorHAnsi" w:cstheme="minorBidi" w:eastAsiaTheme="minorEastAsia" w:hAnsiTheme="minorHAnsi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</w:rPr>
              <w:t>ÍNDICE DE EFICIÊNCIA FINANCEIRA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_Toc236814320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Arial" w:cs="Arial" w:asciiTheme="minorHAnsi" w:cstheme="minorBidi" w:eastAsiaTheme="minorEastAsia" w:hAnsiTheme="minorHAnsi"/>
              <w:lang w:eastAsia="pt-BR"/>
            </w:rPr>
          </w:pPr>
          <w:hyperlink w:anchor="_Toc236814321">
            <w:r>
              <w:rPr>
                <w:rStyle w:val="Vnculodendice"/>
                <w:rFonts w:cs="Arial" w:ascii="Arial" w:hAnsi="Arial"/>
                <w:b/>
                <w:bCs/>
                <w:webHidden/>
              </w:rPr>
              <w:t>6.2 ÍNDICE CONTÁBIL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_Toc236814321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eastAsia="Arial" w:eastAsiaTheme="minorEastAsia"/>
              <w:lang w:eastAsia="pt-BR"/>
            </w:rPr>
          </w:pPr>
          <w:hyperlink w:anchor="_Toc236814322">
            <w:r>
              <w:rPr>
                <w:rStyle w:val="Vnculodendice"/>
                <w:rFonts w:cs="Arial" w:ascii="Arial" w:hAnsi="Arial"/>
                <w:b/>
                <w:bCs/>
                <w:webHidden/>
                <w:lang w:val="pt-PT"/>
              </w:rPr>
              <w:t>7.</w:t>
            </w:r>
            <w:r>
              <w:rPr>
                <w:rStyle w:val="Vnculodendice"/>
                <w:rFonts w:eastAsia="Arial" w:eastAsiaTheme="minorEastAsia"/>
                <w:lang w:eastAsia="pt-BR"/>
              </w:rPr>
              <w:tab/>
            </w:r>
            <w:r>
              <w:rPr>
                <w:rStyle w:val="Vnculodendice"/>
                <w:rFonts w:cs="Arial" w:ascii="Arial" w:hAnsi="Arial"/>
                <w:b/>
                <w:bCs/>
              </w:rPr>
              <w:t>IMPACTO BENEFÍCIO SOCIAL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_Toc236814322 \h</w:instrText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  <w:vanish w:val="false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ascii="Arial" w:hAnsi="Arial" w:cs="Arial"/>
            </w:rPr>
          </w:pPr>
          <w:r>
            <w:rPr>
              <w:rFonts w:cs="Arial" w:ascii="Arial" w:hAnsi="Arial"/>
            </w:rPr>
          </w:r>
          <w:r>
            <w:rPr>
              <w:rFonts w:cs="Arial" w:ascii="Arial" w:hAnsi="Arial"/>
            </w:rPr>
            <w:fldChar w:fldCharType="end"/>
          </w:r>
        </w:p>
      </w:sdtContent>
    </w:sdt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-99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3"/>
        </w:numPr>
        <w:ind w:hanging="0" w:start="-993"/>
        <w:rPr>
          <w:rFonts w:ascii="Arial" w:hAnsi="Arial" w:cs="Arial"/>
          <w:b/>
          <w:bCs/>
          <w:color w:themeColor="text1" w:val="000000"/>
          <w:sz w:val="22"/>
          <w:szCs w:val="22"/>
          <w:shd w:fill="FFFFFF" w:val="clear"/>
        </w:rPr>
      </w:pPr>
      <w:bookmarkStart w:id="2" w:name="_Toc236814292"/>
      <w:r>
        <w:rPr>
          <w:rFonts w:cs="Arial" w:ascii="Arial" w:hAnsi="Arial"/>
          <w:b/>
          <w:bCs/>
          <w:color w:themeColor="text1" w:val="000000"/>
          <w:sz w:val="22"/>
          <w:szCs w:val="22"/>
          <w:shd w:fill="FFFFFF" w:val="clear"/>
        </w:rPr>
        <w:t>APRESENTAÇÃO</w:t>
      </w:r>
      <w:bookmarkEnd w:id="2"/>
    </w:p>
    <w:p>
      <w:pPr>
        <w:pStyle w:val="BodyText"/>
        <w:ind w:start="-567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1"/>
        <w:spacing w:lineRule="auto" w:line="360"/>
        <w:ind w:firstLine="567" w:start="-567"/>
        <w:jc w:val="both"/>
        <w:rPr>
          <w:sz w:val="22"/>
          <w:szCs w:val="22"/>
        </w:rPr>
      </w:pPr>
      <w:r>
        <w:rPr>
          <w:sz w:val="22"/>
          <w:szCs w:val="22"/>
        </w:rPr>
        <w:t>Em consonância com o contrato firmado entre a Secretaria de Estado da Saúde de Goiás SES/GO e o Instituto de Planejamento e Gestão de Serviços Especializados (IPGSE), para a gestão e operacionalização do Hospital Estadual de Santa Helena de Goiás Dr. Albanir Faleiros Machado – HERSO sob Aditivo do Termo de Colaboração nº 101/2024 SES, apresenta-se nessa oportunidade o relatório gerencial e de atividades desenvolvidas referente a julho de 2026.</w:t>
      </w:r>
    </w:p>
    <w:p>
      <w:pPr>
        <w:pStyle w:val="p1"/>
        <w:spacing w:lineRule="auto" w:line="360"/>
        <w:ind w:firstLine="567" w:start="-567"/>
        <w:jc w:val="both"/>
        <w:rPr>
          <w:sz w:val="22"/>
          <w:szCs w:val="22"/>
        </w:rPr>
      </w:pPr>
      <w:r>
        <w:rPr>
          <w:sz w:val="22"/>
          <w:szCs w:val="22"/>
        </w:rPr>
        <w:t>As informações contidas neste relatório são referentes aos atendimentos, atividades, eventos e produção anual da instituição, os dados são extraídos dos mapas estatísticos dos setores e eletronicamente do sistema de gestão hospitalar SoulMV.</w:t>
      </w:r>
    </w:p>
    <w:p>
      <w:pPr>
        <w:pStyle w:val="Normal"/>
        <w:spacing w:lineRule="auto" w:line="360" w:before="240" w:after="240"/>
        <w:ind w:start="-1134" w:end="-568"/>
        <w:jc w:val="both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distT="0" distB="24130" distL="0" distR="22860" simplePos="0" relativeHeight="12" behindDoc="0" locked="0" layoutInCell="1" allowOverlap="1" wp14:anchorId="15953211">
                <wp:simplePos x="0" y="0"/>
                <wp:positionH relativeFrom="column">
                  <wp:posOffset>-339090</wp:posOffset>
                </wp:positionH>
                <wp:positionV relativeFrom="paragraph">
                  <wp:posOffset>442595</wp:posOffset>
                </wp:positionV>
                <wp:extent cx="5882640" cy="205105"/>
                <wp:effectExtent l="6350" t="6985" r="6350" b="5715"/>
                <wp:wrapNone/>
                <wp:docPr id="2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760" cy="205200"/>
                        </a:xfrm>
                        <a:prstGeom prst="rect">
                          <a:avLst/>
                        </a:prstGeom>
                        <a:solidFill>
                          <a:srgbClr val="00344C"/>
                        </a:solidFill>
                        <a:ln>
                          <a:solidFill>
                            <a:srgbClr val="00344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44c" stroked="t" o:allowincell="f" style="position:absolute;margin-left:-26.7pt;margin-top:34.85pt;width:463.15pt;height:16.1pt;mso-wrap-style:none;v-text-anchor:middle" wp14:anchorId="15953211">
                <v:fill o:detectmouseclick="t" type="solid" color2="#ffcbb3"/>
                <v:stroke color="#00344c" weight="1260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auto" w:line="360" w:before="240" w:after="240"/>
        <w:ind w:start="-1134" w:end="-56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  <w:color w:val="00344C"/>
        </w:rPr>
      </w:pPr>
      <w:r>
        <w:rPr>
          <w:rFonts w:cs="Arial" w:ascii="Arial" w:hAnsi="Arial"/>
          <w:color w:val="00344C"/>
        </w:rPr>
        <w:t>MISSÃO: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  <w:color w:val="00344C"/>
        </w:rPr>
      </w:pPr>
      <w:r>
        <w:rPr>
          <w:rFonts w:cs="Arial" w:ascii="Arial" w:hAnsi="Arial"/>
        </w:rPr>
        <w:t>Prestar assistência hospitalar aos usuários do Sistema Único de Saúde de forma humanizada com segurança e qualidade, visando à satisfação dos clientes.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  <w:color w:val="00344C"/>
        </w:rPr>
      </w:pPr>
      <w:r>
        <w:rPr>
          <w:rFonts w:cs="Arial" w:ascii="Arial" w:hAnsi="Arial"/>
          <w:color w:val="00344C"/>
        </w:rPr>
        <w:t>Visão: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</w:rPr>
        <w:t>Ser referência no atendimento hospitalar de urgências e emergências em trauma e desenvolvimento profissional, focado na segurança do paciente no Estado de Goiás.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  <w:color w:val="00344C"/>
        </w:rPr>
      </w:pPr>
      <w:r>
        <w:rPr>
          <w:rFonts w:cs="Arial" w:ascii="Arial" w:hAnsi="Arial"/>
          <w:color w:val="00344C"/>
        </w:rPr>
        <w:t>Valores: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</w:rPr>
      </w:pPr>
      <w:r>
        <mc:AlternateContent>
          <mc:Choice Requires="wps">
            <w:drawing>
              <wp:anchor distT="0" distB="24130" distL="0" distR="22860" simplePos="0" relativeHeight="13" behindDoc="0" locked="0" layoutInCell="1" allowOverlap="1" wp14:anchorId="17AE7292">
                <wp:simplePos x="0" y="0"/>
                <wp:positionH relativeFrom="column">
                  <wp:posOffset>-378460</wp:posOffset>
                </wp:positionH>
                <wp:positionV relativeFrom="paragraph">
                  <wp:posOffset>371475</wp:posOffset>
                </wp:positionV>
                <wp:extent cx="5882640" cy="205105"/>
                <wp:effectExtent l="6350" t="6985" r="6350" b="5715"/>
                <wp:wrapNone/>
                <wp:docPr id="3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760" cy="205200"/>
                        </a:xfrm>
                        <a:prstGeom prst="rect">
                          <a:avLst/>
                        </a:prstGeom>
                        <a:solidFill>
                          <a:srgbClr val="00344C"/>
                        </a:solidFill>
                        <a:ln>
                          <a:solidFill>
                            <a:srgbClr val="00344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344c" stroked="t" o:allowincell="f" style="position:absolute;margin-left:-29.8pt;margin-top:29.25pt;width:463.15pt;height:16.1pt;mso-wrap-style:none;v-text-anchor:middle" wp14:anchorId="17AE7292">
                <v:fill o:detectmouseclick="t" type="solid" color2="#ffcbb3"/>
                <v:stroke color="#00344c" weight="12600" joinstyle="miter" endcap="flat"/>
                <w10:wrap type="none"/>
              </v:rect>
            </w:pict>
          </mc:Fallback>
        </mc:AlternateContent>
      </w:r>
      <w:r>
        <w:rPr>
          <w:rFonts w:cs="Arial" w:ascii="Arial" w:hAnsi="Arial"/>
        </w:rPr>
        <w:t>Segurança, Humanização, Qualidade e Ética.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240"/>
        <w:ind w:start="-993" w:end="-71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240"/>
        <w:ind w:start="-993" w:end="-71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240"/>
        <w:ind w:start="-993" w:end="-71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240"/>
        <w:ind w:start="-993" w:end="-71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3"/>
        </w:numPr>
        <w:spacing w:lineRule="auto" w:line="360" w:before="0" w:after="0"/>
        <w:ind w:hanging="0" w:start="-993"/>
        <w:jc w:val="both"/>
        <w:rPr>
          <w:rFonts w:ascii="Arial" w:hAnsi="Arial" w:cs="Arial"/>
          <w:b/>
          <w:bCs/>
          <w:color w:themeColor="text1" w:val="000000"/>
          <w:sz w:val="22"/>
          <w:szCs w:val="22"/>
          <w:shd w:fill="FFFFFF" w:val="clear"/>
        </w:rPr>
      </w:pPr>
      <w:bookmarkStart w:id="3" w:name="_Toc236814293"/>
      <w:r>
        <w:rPr>
          <w:rFonts w:cs="Arial" w:ascii="Arial" w:hAnsi="Arial"/>
          <w:b/>
          <w:bCs/>
          <w:color w:themeColor="text1" w:val="000000"/>
          <w:sz w:val="22"/>
          <w:szCs w:val="22"/>
          <w:shd w:fill="FFFFFF" w:val="clear"/>
        </w:rPr>
        <w:t>IDENTIFICAÇÃO E PERFIL DO HOSPITAL</w:t>
      </w:r>
      <w:bookmarkEnd w:id="3"/>
      <w:r>
        <w:rPr>
          <w:rFonts w:cs="Arial" w:ascii="Arial" w:hAnsi="Arial"/>
          <w:b/>
          <w:bCs/>
          <w:color w:themeColor="text1" w:val="000000"/>
          <w:sz w:val="22"/>
          <w:szCs w:val="22"/>
          <w:shd w:fill="FFFFFF" w:val="clear"/>
        </w:rPr>
        <w:t xml:space="preserve"> </w:t>
      </w:r>
    </w:p>
    <w:p>
      <w:pPr>
        <w:pStyle w:val="BodyText"/>
        <w:spacing w:lineRule="auto" w:line="360" w:before="0" w:after="0"/>
        <w:ind w:hanging="142" w:start="-567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Nome:</w:t>
      </w:r>
      <w:r>
        <w:rPr>
          <w:rFonts w:cs="Arial" w:ascii="Arial" w:hAnsi="Arial"/>
        </w:rPr>
        <w:t xml:space="preserve"> Hospital Estadual de Santa Helena de Goiás – Dr. Albanir Faleiros Machado – HERSO</w:t>
      </w:r>
    </w:p>
    <w:p>
      <w:pPr>
        <w:pStyle w:val="BodyText"/>
        <w:spacing w:lineRule="auto" w:line="360" w:before="0" w:after="0"/>
        <w:ind w:hanging="142" w:start="-567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CNES:</w:t>
      </w:r>
      <w:r>
        <w:rPr>
          <w:rFonts w:cs="Arial" w:ascii="Arial" w:hAnsi="Arial"/>
        </w:rPr>
        <w:t xml:space="preserve"> 6665322</w:t>
      </w:r>
    </w:p>
    <w:p>
      <w:pPr>
        <w:pStyle w:val="BodyText"/>
        <w:spacing w:lineRule="auto" w:line="360" w:before="0" w:after="0"/>
        <w:ind w:hanging="142" w:start="-567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Endereço:</w:t>
      </w:r>
      <w:r>
        <w:rPr>
          <w:rFonts w:cs="Arial" w:ascii="Arial" w:hAnsi="Arial"/>
        </w:rPr>
        <w:t xml:space="preserve"> Av. Uirapuru s/n – Parque Residencial Isaura</w:t>
      </w:r>
    </w:p>
    <w:p>
      <w:pPr>
        <w:pStyle w:val="BodyText"/>
        <w:spacing w:lineRule="auto" w:line="360" w:before="0" w:after="0"/>
        <w:ind w:hanging="142" w:start="-567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CNPJ: </w:t>
      </w:r>
      <w:r>
        <w:rPr>
          <w:rFonts w:cs="Arial" w:ascii="Arial" w:hAnsi="Arial"/>
        </w:rPr>
        <w:t>02.529.964/0014-71</w:t>
      </w:r>
    </w:p>
    <w:p>
      <w:pPr>
        <w:pStyle w:val="BodyText"/>
        <w:spacing w:lineRule="auto" w:line="360" w:before="0" w:after="0"/>
        <w:ind w:hanging="142" w:start="-567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Esfera de Gestão:</w:t>
      </w:r>
      <w:r>
        <w:rPr>
          <w:rFonts w:cs="Arial" w:ascii="Arial" w:hAnsi="Arial"/>
        </w:rPr>
        <w:t xml:space="preserve"> Órgão Público do Poder Executivo Estadual </w:t>
      </w:r>
    </w:p>
    <w:p>
      <w:pPr>
        <w:pStyle w:val="BodyText"/>
        <w:spacing w:lineRule="auto" w:line="360" w:before="0" w:after="0"/>
        <w:ind w:start="-709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Funcionamento da unidade:</w:t>
      </w:r>
      <w:r>
        <w:rPr>
          <w:rFonts w:cs="Arial" w:ascii="Arial" w:hAnsi="Arial"/>
        </w:rPr>
        <w:t xml:space="preserve"> Urgência e Emergência: 24 horas, 7 dias da semana. Ambulatório: Segunda a sexta-feira, das 07h às 19h</w:t>
      </w:r>
    </w:p>
    <w:p>
      <w:pPr>
        <w:pStyle w:val="BodyText"/>
        <w:spacing w:lineRule="auto" w:line="360" w:before="0" w:after="0"/>
        <w:ind w:start="-709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Perfil da unidade: </w:t>
      </w:r>
      <w:r>
        <w:rPr>
          <w:rFonts w:cs="Arial" w:ascii="Arial" w:hAnsi="Arial"/>
        </w:rPr>
        <w:t>O HERSO é um Hospital Geral de Média e Alta Complexidade, de demanda regulada e/ou referenciada, com leitos cirúrgicos, clínicos e de terapia intensiva (UTI) para atendimento dos pacientes da Macrorregião Sudoeste de Goiás e demais Macrorregiões.</w:t>
      </w:r>
    </w:p>
    <w:p>
      <w:pPr>
        <w:pStyle w:val="BodyText"/>
        <w:spacing w:lineRule="auto" w:line="360" w:before="0" w:after="0"/>
        <w:ind w:start="-709"/>
        <w:jc w:val="both"/>
        <w:rPr>
          <w:rFonts w:ascii="Arial" w:hAnsi="Arial" w:cs="Arial"/>
        </w:rPr>
      </w:pPr>
      <w:r>
        <w:rPr>
          <w:rFonts w:cs="Arial" w:ascii="Arial" w:hAnsi="Arial"/>
        </w:rPr>
        <w:t>É referência para atendimentos de urgência e emergência em Bucomaxilo, Cirurgia Geral, Clínica Médica, Ortopedia e Traumatologia, Neurologia, Vascular, também realiza atendimentos ambulatoriais nas especialidades de Cirurgia Geral, Ortopedia, Cardiologia, Urologia e Neurologia, assim como serviço de diagnóstico com exames laboratoriais e de imagem (Radiologia, Tomografia e Ultrassonografia).</w:t>
      </w:r>
    </w:p>
    <w:p>
      <w:pPr>
        <w:pStyle w:val="BodyText"/>
        <w:spacing w:lineRule="auto" w:line="360" w:before="0" w:after="0"/>
        <w:ind w:start="-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HERSO possui leitos gerais, leitos complementares e leitos dia, distribuídos da seguinte forma, totalizando 99:  </w:t>
      </w:r>
    </w:p>
    <w:tbl>
      <w:tblPr>
        <w:tblStyle w:val="Tabelacomgrade"/>
        <w:tblW w:w="977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404"/>
        <w:gridCol w:w="2372"/>
      </w:tblGrid>
      <w:tr>
        <w:trPr>
          <w:trHeight w:val="631" w:hRule="atLeast"/>
        </w:trPr>
        <w:tc>
          <w:tcPr>
            <w:tcW w:w="740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ind w:end="778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UNIDADE:</w:t>
            </w:r>
          </w:p>
        </w:tc>
        <w:tc>
          <w:tcPr>
            <w:tcW w:w="2372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LEITOS:</w:t>
            </w:r>
          </w:p>
        </w:tc>
      </w:tr>
      <w:tr>
        <w:trPr>
          <w:trHeight w:val="615" w:hRule="atLeast"/>
        </w:trPr>
        <w:tc>
          <w:tcPr>
            <w:tcW w:w="740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Clínica Médica Adulto</w:t>
            </w:r>
          </w:p>
        </w:tc>
        <w:tc>
          <w:tcPr>
            <w:tcW w:w="23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12</w:t>
            </w:r>
          </w:p>
        </w:tc>
      </w:tr>
      <w:tr>
        <w:trPr>
          <w:trHeight w:val="634" w:hRule="atLeast"/>
        </w:trPr>
        <w:tc>
          <w:tcPr>
            <w:tcW w:w="740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Clínica Cirúrgica</w:t>
            </w:r>
          </w:p>
        </w:tc>
        <w:tc>
          <w:tcPr>
            <w:tcW w:w="23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53</w:t>
            </w:r>
          </w:p>
        </w:tc>
      </w:tr>
      <w:tr>
        <w:trPr>
          <w:trHeight w:val="575" w:hRule="atLeast"/>
        </w:trPr>
        <w:tc>
          <w:tcPr>
            <w:tcW w:w="740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Unidade de Terapia Intensiva – Adulto | UTI Tipo II</w:t>
            </w:r>
          </w:p>
        </w:tc>
        <w:tc>
          <w:tcPr>
            <w:tcW w:w="23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18</w:t>
            </w:r>
          </w:p>
        </w:tc>
      </w:tr>
      <w:tr>
        <w:trPr>
          <w:trHeight w:val="575" w:hRule="atLeast"/>
        </w:trPr>
        <w:tc>
          <w:tcPr>
            <w:tcW w:w="740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 xml:space="preserve">PS – Observação </w:t>
            </w:r>
          </w:p>
        </w:tc>
        <w:tc>
          <w:tcPr>
            <w:tcW w:w="23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06</w:t>
            </w:r>
          </w:p>
        </w:tc>
      </w:tr>
      <w:tr>
        <w:trPr>
          <w:trHeight w:val="575" w:hRule="atLeast"/>
        </w:trPr>
        <w:tc>
          <w:tcPr>
            <w:tcW w:w="740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Box emergência</w:t>
            </w:r>
          </w:p>
        </w:tc>
        <w:tc>
          <w:tcPr>
            <w:tcW w:w="23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06</w:t>
            </w:r>
          </w:p>
        </w:tc>
      </w:tr>
      <w:tr>
        <w:trPr>
          <w:trHeight w:val="516" w:hRule="atLeast"/>
        </w:trPr>
        <w:tc>
          <w:tcPr>
            <w:tcW w:w="740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Leito dia</w:t>
            </w:r>
          </w:p>
        </w:tc>
        <w:tc>
          <w:tcPr>
            <w:tcW w:w="237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04</w:t>
            </w:r>
          </w:p>
        </w:tc>
      </w:tr>
    </w:tbl>
    <w:p>
      <w:pPr>
        <w:pStyle w:val="Caption"/>
        <w:ind w:start="-851" w:end="-568"/>
        <w:jc w:val="center"/>
        <w:rPr>
          <w:rFonts w:ascii="Arial" w:hAnsi="Arial" w:cs="Arial"/>
          <w:i w:val="false"/>
          <w:iCs w:val="false"/>
          <w:color w:themeColor="text1" w:val="000000"/>
          <w:sz w:val="22"/>
          <w:szCs w:val="22"/>
        </w:rPr>
      </w:pPr>
      <w:bookmarkStart w:id="4" w:name="_Toc218610830"/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t xml:space="preserve">Tabela </w:t>
      </w:r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fldChar w:fldCharType="begin"/>
      </w:r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instrText xml:space="preserve"> SEQ Tabela \* ARABIC </w:instrText>
      </w:r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fldChar w:fldCharType="separate"/>
      </w:r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t>1</w:t>
      </w:r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fldChar w:fldCharType="end"/>
      </w:r>
      <w:r>
        <w:rPr>
          <w:rFonts w:cs="Arial" w:ascii="Arial" w:hAnsi="Arial"/>
          <w:i w:val="false"/>
          <w:iCs w:val="false"/>
          <w:color w:themeColor="text1" w:val="000000"/>
          <w:sz w:val="22"/>
          <w:szCs w:val="22"/>
        </w:rPr>
        <w:t xml:space="preserve"> - Lista de leitos de Unidades de Internação | Fonte: Termo Aditivo ao Termo de Colaboração nº 101/2024 SES/GO</w:t>
      </w:r>
      <w:bookmarkEnd w:id="4"/>
    </w:p>
    <w:p>
      <w:pPr>
        <w:pStyle w:val="BodyTex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3"/>
        </w:numPr>
        <w:ind w:hanging="360" w:start="-567"/>
        <w:rPr>
          <w:rFonts w:ascii="Arial" w:hAnsi="Arial" w:cs="Arial"/>
          <w:b/>
          <w:bCs/>
          <w:color w:val="auto"/>
          <w:sz w:val="22"/>
          <w:szCs w:val="22"/>
          <w:shd w:fill="FFFFFF" w:val="clear"/>
        </w:rPr>
      </w:pPr>
      <w:bookmarkStart w:id="5" w:name="_Toc236814294"/>
      <w:r>
        <w:rPr>
          <w:rFonts w:cs="Arial" w:ascii="Arial" w:hAnsi="Arial"/>
          <w:b/>
          <w:bCs/>
          <w:color w:val="auto"/>
          <w:sz w:val="22"/>
          <w:szCs w:val="22"/>
          <w:shd w:fill="FFFFFF" w:val="clear"/>
        </w:rPr>
        <w:t>INDICADORES ESTATÍSTICOS QUE PERMITAM AVALIAÇÃO QUANTITATIVA E QUALITATIVA DO DESEMPENHO E DO CUMPRIMENTO DAS METAS PACTUADAS</w:t>
      </w:r>
      <w:bookmarkEnd w:id="5"/>
    </w:p>
    <w:p>
      <w:pPr>
        <w:pStyle w:val="BodyText"/>
        <w:rPr/>
      </w:pPr>
      <w:r>
        <w:rPr/>
      </w:r>
    </w:p>
    <w:p>
      <w:pPr>
        <w:pStyle w:val="Heading3"/>
        <w:numPr>
          <w:ilvl w:val="0"/>
          <w:numId w:val="0"/>
        </w:numPr>
        <w:ind w:hanging="0" w:start="-567"/>
        <w:rPr>
          <w:rFonts w:ascii="Arial" w:hAnsi="Arial" w:cs="Arial"/>
          <w:b/>
          <w:bCs/>
          <w:color w:val="auto"/>
          <w:sz w:val="22"/>
          <w:szCs w:val="22"/>
        </w:rPr>
      </w:pPr>
      <w:bookmarkStart w:id="6" w:name="_Toc236814295"/>
      <w:r>
        <w:rPr>
          <w:rFonts w:cs="Arial" w:ascii="Arial" w:hAnsi="Arial"/>
          <w:b/>
          <w:bCs/>
          <w:color w:val="auto"/>
          <w:sz w:val="22"/>
          <w:szCs w:val="22"/>
        </w:rPr>
        <w:t>3.1 INDICADORES DE PRODUÇÃO</w:t>
      </w:r>
      <w:bookmarkEnd w:id="6"/>
      <w:r>
        <w:rPr>
          <w:rFonts w:cs="Arial" w:ascii="Arial" w:hAnsi="Arial"/>
          <w:b/>
          <w:bCs/>
          <w:color w:val="auto"/>
          <w:sz w:val="22"/>
          <w:szCs w:val="22"/>
        </w:rPr>
        <w:t xml:space="preserve"> </w:t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b w:val="false"/>
          <w:bCs w:val="false"/>
          <w:color w:themeColor="text1" w:val="000000"/>
          <w:sz w:val="22"/>
          <w:szCs w:val="22"/>
          <w:shd w:fill="FFFFFF" w:val="clear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A seguir, apresentam-se as metas de produção contratualizadas no Termo de Colaboração nº 101/2024 - SES/GO  e seu 1º e 2 º Termo Aditivo, bem como a quantidade realizada em julho de 2026: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</w:rPr>
      </w:pPr>
      <w:bookmarkStart w:id="7" w:name="_Toc236814296"/>
      <w:r>
        <w:rPr>
          <w:rFonts w:cs="Arial" w:ascii="Arial" w:hAnsi="Arial"/>
          <w:b/>
          <w:bCs/>
          <w:i w:val="false"/>
          <w:iCs w:val="false"/>
          <w:color w:val="auto"/>
        </w:rPr>
        <w:t>3.1.1 Internação (Saídas Hospitalares)</w:t>
      </w:r>
      <w:bookmarkEnd w:id="7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As saídas hospitalares correspondem às altas hospitalares dos pacientes internados na unidade, incluindo as altas melhoradas e a   pedido, transferências externas e óbitos ocorridos no período.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pPr w:vertAnchor="page" w:horzAnchor="margin" w:tblpXSpec="center" w:leftFromText="141" w:rightFromText="141" w:tblpY="4649"/>
        <w:tblW w:w="1066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72"/>
        <w:gridCol w:w="3857"/>
        <w:gridCol w:w="2132"/>
      </w:tblGrid>
      <w:tr>
        <w:trPr>
          <w:trHeight w:val="570" w:hRule="atLeast"/>
        </w:trPr>
        <w:tc>
          <w:tcPr>
            <w:tcW w:w="4672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UNIDADES DE INTERNAÇÃO</w:t>
            </w:r>
          </w:p>
        </w:tc>
        <w:tc>
          <w:tcPr>
            <w:tcW w:w="3857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METAS</w:t>
            </w:r>
          </w:p>
        </w:tc>
        <w:tc>
          <w:tcPr>
            <w:tcW w:w="2132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346" w:hRule="atLeast"/>
        </w:trPr>
        <w:tc>
          <w:tcPr>
            <w:tcW w:w="4672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Clínica Cirúrgica</w:t>
            </w:r>
          </w:p>
        </w:tc>
        <w:tc>
          <w:tcPr>
            <w:tcW w:w="3857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381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409</w:t>
            </w:r>
          </w:p>
        </w:tc>
      </w:tr>
      <w:tr>
        <w:trPr>
          <w:trHeight w:val="346" w:hRule="atLeast"/>
        </w:trPr>
        <w:tc>
          <w:tcPr>
            <w:tcW w:w="467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color w:themeColor="text1" w:val="000000"/>
                <w:kern w:val="0"/>
                <w:sz w:val="22"/>
                <w:szCs w:val="22"/>
                <w:lang w:val="pt-BR" w:eastAsia="pt-BR" w:bidi="ar-SA"/>
              </w:rPr>
              <w:t>Clínica Médica Adulto</w:t>
            </w:r>
          </w:p>
        </w:tc>
        <w:tc>
          <w:tcPr>
            <w:tcW w:w="3857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82</w:t>
            </w:r>
          </w:p>
        </w:tc>
        <w:tc>
          <w:tcPr>
            <w:tcW w:w="2132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89</w:t>
            </w:r>
          </w:p>
        </w:tc>
      </w:tr>
      <w:tr>
        <w:trPr>
          <w:trHeight w:val="469" w:hRule="atLeast"/>
        </w:trPr>
        <w:tc>
          <w:tcPr>
            <w:tcW w:w="4672" w:type="dxa"/>
            <w:tcBorders/>
            <w:shd w:color="auto" w:fill="00344C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29"/>
              <w:jc w:val="end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>Total da meta estabelecida:</w:t>
            </w:r>
          </w:p>
        </w:tc>
        <w:tc>
          <w:tcPr>
            <w:tcW w:w="5989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463</w:t>
            </w:r>
          </w:p>
        </w:tc>
      </w:tr>
      <w:tr>
        <w:trPr>
          <w:trHeight w:val="469" w:hRule="atLeast"/>
        </w:trPr>
        <w:tc>
          <w:tcPr>
            <w:tcW w:w="8529" w:type="dxa"/>
            <w:gridSpan w:val="2"/>
            <w:tcBorders/>
            <w:shd w:color="auto" w:fill="00344C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>Total de saídas – JULHO</w:t>
            </w:r>
          </w:p>
        </w:tc>
        <w:tc>
          <w:tcPr>
            <w:tcW w:w="213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 xml:space="preserve">498 </w:t>
            </w:r>
          </w:p>
        </w:tc>
      </w:tr>
    </w:tbl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8" w:name="_Toc236814297"/>
      <w:r/>
      <w:r>
        <w:rPr>
          <w:rFonts w:cs="Arial" w:ascii="Arial" w:hAnsi="Arial"/>
          <w:b/>
          <w:bCs/>
          <w:i w:val="false"/>
          <w:iCs w:val="false"/>
          <w:color w:val="auto"/>
        </w:rPr>
        <w:t>3.1.2 Cirurgias Programadas / Eletivas</w:t>
      </w:r>
      <w:bookmarkEnd w:id="8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As cirurgias programadas/eletivas realizadas no HERSO são das especialidades: cirurgia geral, ortopedia, urologia e buco maxilofacial.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W w:w="10774" w:type="dxa"/>
        <w:jc w:val="start"/>
        <w:tblInd w:w="-99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5"/>
        <w:gridCol w:w="2268"/>
        <w:gridCol w:w="3261"/>
      </w:tblGrid>
      <w:tr>
        <w:trPr>
          <w:trHeight w:val="432" w:hRule="atLeast"/>
        </w:trPr>
        <w:tc>
          <w:tcPr>
            <w:tcW w:w="524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QUANTIDADE DE CIRURGIAS</w:t>
            </w:r>
          </w:p>
        </w:tc>
        <w:tc>
          <w:tcPr>
            <w:tcW w:w="2268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3261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538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Alto Giro</w:t>
            </w:r>
          </w:p>
        </w:tc>
        <w:tc>
          <w:tcPr>
            <w:tcW w:w="226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eastAsia="Calibri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100</w:t>
            </w:r>
          </w:p>
        </w:tc>
        <w:tc>
          <w:tcPr>
            <w:tcW w:w="3261" w:type="dxa"/>
            <w:tcBorders/>
            <w:shd w:color="auto" w:fill="FFFFFF" w:themeFill="background1" w:val="clea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 xml:space="preserve">71 </w:t>
            </w:r>
          </w:p>
        </w:tc>
      </w:tr>
      <w:tr>
        <w:trPr>
          <w:trHeight w:val="538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Média ou Alta Complexidade</w:t>
            </w:r>
          </w:p>
        </w:tc>
        <w:tc>
          <w:tcPr>
            <w:tcW w:w="226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eastAsia="Calibri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80</w:t>
            </w:r>
          </w:p>
        </w:tc>
        <w:tc>
          <w:tcPr>
            <w:tcW w:w="3261" w:type="dxa"/>
            <w:tcBorders/>
            <w:shd w:color="auto" w:fill="FFFFFF" w:themeFill="background1" w:val="clea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124</w:t>
            </w:r>
          </w:p>
        </w:tc>
      </w:tr>
      <w:tr>
        <w:trPr>
          <w:trHeight w:val="538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Alto Custo</w:t>
            </w:r>
          </w:p>
        </w:tc>
        <w:tc>
          <w:tcPr>
            <w:tcW w:w="226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eastAsia="Calibri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30</w:t>
            </w:r>
          </w:p>
        </w:tc>
        <w:tc>
          <w:tcPr>
            <w:tcW w:w="3261" w:type="dxa"/>
            <w:tcBorders/>
            <w:shd w:color="auto" w:fill="FFFFFF" w:themeFill="background1" w:val="clea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00</w:t>
            </w:r>
          </w:p>
        </w:tc>
      </w:tr>
      <w:tr>
        <w:trPr>
          <w:trHeight w:val="538" w:hRule="atLeast"/>
        </w:trPr>
        <w:tc>
          <w:tcPr>
            <w:tcW w:w="5245" w:type="dxa"/>
            <w:tcBorders/>
            <w:shd w:color="auto" w:fill="0038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TOTAL REALIZADO:</w:t>
            </w:r>
          </w:p>
        </w:tc>
        <w:tc>
          <w:tcPr>
            <w:tcW w:w="2268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eastAsia="Calibri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210</w:t>
            </w:r>
          </w:p>
        </w:tc>
        <w:tc>
          <w:tcPr>
            <w:tcW w:w="326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195</w:t>
            </w:r>
          </w:p>
        </w:tc>
      </w:tr>
    </w:tbl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9" w:name="_Toc236814298"/>
      <w:r>
        <w:rPr>
          <w:rFonts w:cs="Arial" w:ascii="Arial" w:hAnsi="Arial"/>
          <w:b/>
          <w:bCs/>
          <w:i w:val="false"/>
          <w:iCs w:val="false"/>
          <w:color w:val="auto"/>
        </w:rPr>
        <w:t>3.1.3 Atendimento Ambulatorial</w:t>
      </w:r>
      <w:bookmarkEnd w:id="9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Os atendimentos ambulatoriais médicos correspondem a atendimento de pacientes em primeira consulta, primeira consulta de egresso, interconsulta e consultas subsequentes (retornos). São realizadas também consultas ambulatoriais multiprofissionais e pequenos procedimentos ambulatoriais. </w:t>
      </w:r>
    </w:p>
    <w:tbl>
      <w:tblPr>
        <w:tblStyle w:val="Tabelacomgrade"/>
        <w:tblpPr w:vertAnchor="text" w:horzAnchor="margin" w:tblpXSpec="center" w:leftFromText="141" w:rightFromText="141" w:tblpY="94"/>
        <w:tblW w:w="1077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5"/>
        <w:gridCol w:w="2835"/>
        <w:gridCol w:w="2694"/>
      </w:tblGrid>
      <w:tr>
        <w:trPr>
          <w:tblHeader w:val="true"/>
          <w:trHeight w:val="417" w:hRule="atLeast"/>
        </w:trPr>
        <w:tc>
          <w:tcPr>
            <w:tcW w:w="524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Atendimento Ambulatorial</w:t>
            </w:r>
          </w:p>
        </w:tc>
        <w:tc>
          <w:tcPr>
            <w:tcW w:w="283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269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399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Consultas Médicas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1350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1.229</w:t>
            </w:r>
          </w:p>
        </w:tc>
      </w:tr>
      <w:tr>
        <w:trPr>
          <w:trHeight w:val="399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Consultas Multiprofissionais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1550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1.924</w:t>
            </w:r>
          </w:p>
        </w:tc>
      </w:tr>
      <w:tr>
        <w:trPr>
          <w:trHeight w:val="399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Pequenos Procedimentos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40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21</w:t>
            </w:r>
          </w:p>
        </w:tc>
      </w:tr>
      <w:tr>
        <w:trPr>
          <w:trHeight w:val="549" w:hRule="atLeast"/>
        </w:trPr>
        <w:tc>
          <w:tcPr>
            <w:tcW w:w="524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29"/>
              <w:jc w:val="end"/>
              <w:rPr>
                <w:rFonts w:ascii="Arial" w:hAnsi="Arial" w:eastAsia="Times New Roman" w:cs="Arial"/>
                <w:color w:themeColor="background1" w:val="FFFFFF"/>
                <w:lang w:eastAsia="pt-BR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>Total de Atendimentos Ambulatoriais:</w:t>
            </w:r>
          </w:p>
        </w:tc>
        <w:tc>
          <w:tcPr>
            <w:tcW w:w="2835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2.940</w:t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val="2B2B00"/>
              </w:rPr>
            </w:pPr>
            <w:r>
              <w:rPr>
                <w:rFonts w:eastAsia="Calibri" w:cs="Arial" w:ascii="Arial" w:hAnsi="Arial"/>
                <w:b/>
                <w:bCs/>
                <w:color w:val="2B2B00"/>
                <w:kern w:val="0"/>
                <w:sz w:val="22"/>
                <w:szCs w:val="22"/>
                <w:lang w:val="pt-BR" w:eastAsia="en-US" w:bidi="ar-SA"/>
              </w:rPr>
              <w:t>3.174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W w:w="10774" w:type="dxa"/>
        <w:jc w:val="start"/>
        <w:tblInd w:w="-99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62"/>
        <w:gridCol w:w="3118"/>
        <w:gridCol w:w="2694"/>
      </w:tblGrid>
      <w:tr>
        <w:trPr>
          <w:trHeight w:val="449" w:hRule="atLeast"/>
        </w:trPr>
        <w:tc>
          <w:tcPr>
            <w:tcW w:w="4962" w:type="dxa"/>
            <w:vMerge w:val="restart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Total de Atendimentos Médicos</w:t>
            </w:r>
          </w:p>
        </w:tc>
        <w:tc>
          <w:tcPr>
            <w:tcW w:w="3118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269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438" w:hRule="atLeast"/>
        </w:trPr>
        <w:tc>
          <w:tcPr>
            <w:tcW w:w="4962" w:type="dxa"/>
            <w:vMerge w:val="continue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118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1350</w:t>
            </w:r>
          </w:p>
        </w:tc>
        <w:tc>
          <w:tcPr>
            <w:tcW w:w="2694" w:type="dxa"/>
            <w:tcBorders/>
            <w:shd w:color="auto" w:fill="FFFFFF" w:themeFill="background1" w:val="clea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bCs/>
                <w:color w:themeColor="text1" w:val="000000"/>
                <w:spacing w:val="-4"/>
                <w:kern w:val="0"/>
                <w:sz w:val="22"/>
                <w:szCs w:val="22"/>
                <w:lang w:val="pt-BR" w:eastAsia="en-US" w:bidi="ar-SA"/>
              </w:rPr>
              <w:t>1.442</w:t>
            </w:r>
          </w:p>
        </w:tc>
      </w:tr>
      <w:tr>
        <w:trPr>
          <w:trHeight w:val="417" w:hRule="atLeast"/>
        </w:trPr>
        <w:tc>
          <w:tcPr>
            <w:tcW w:w="4962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Especialidades</w:t>
            </w:r>
          </w:p>
        </w:tc>
        <w:tc>
          <w:tcPr>
            <w:tcW w:w="3118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269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420" w:hRule="atLeast"/>
        </w:trPr>
        <w:tc>
          <w:tcPr>
            <w:tcW w:w="496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 Geral</w:t>
            </w:r>
          </w:p>
        </w:tc>
        <w:tc>
          <w:tcPr>
            <w:tcW w:w="311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1350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422</w:t>
            </w:r>
          </w:p>
        </w:tc>
      </w:tr>
      <w:tr>
        <w:trPr>
          <w:trHeight w:val="425" w:hRule="atLeast"/>
        </w:trPr>
        <w:tc>
          <w:tcPr>
            <w:tcW w:w="496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 Vascular</w:t>
            </w:r>
          </w:p>
        </w:tc>
        <w:tc>
          <w:tcPr>
            <w:tcW w:w="311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31</w:t>
            </w:r>
          </w:p>
        </w:tc>
      </w:tr>
      <w:tr>
        <w:trPr>
          <w:trHeight w:val="405" w:hRule="atLeast"/>
        </w:trPr>
        <w:tc>
          <w:tcPr>
            <w:tcW w:w="496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Ortopedia/Traumatologia</w:t>
            </w:r>
          </w:p>
        </w:tc>
        <w:tc>
          <w:tcPr>
            <w:tcW w:w="311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778</w:t>
            </w:r>
          </w:p>
        </w:tc>
      </w:tr>
      <w:tr>
        <w:trPr>
          <w:trHeight w:val="394" w:hRule="atLeast"/>
        </w:trPr>
        <w:tc>
          <w:tcPr>
            <w:tcW w:w="496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pt-BR" w:eastAsia="pt-BR" w:bidi="ar-SA"/>
              </w:rPr>
              <w:t>Cardiologia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</w:p>
        </w:tc>
        <w:tc>
          <w:tcPr>
            <w:tcW w:w="311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72</w:t>
            </w:r>
          </w:p>
        </w:tc>
      </w:tr>
      <w:tr>
        <w:trPr>
          <w:trHeight w:val="394" w:hRule="atLeast"/>
        </w:trPr>
        <w:tc>
          <w:tcPr>
            <w:tcW w:w="496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Urologia</w:t>
            </w:r>
          </w:p>
        </w:tc>
        <w:tc>
          <w:tcPr>
            <w:tcW w:w="311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109</w:t>
            </w:r>
          </w:p>
        </w:tc>
      </w:tr>
      <w:tr>
        <w:trPr>
          <w:trHeight w:val="399" w:hRule="atLeast"/>
        </w:trPr>
        <w:tc>
          <w:tcPr>
            <w:tcW w:w="4962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Neurologia</w:t>
            </w:r>
          </w:p>
        </w:tc>
        <w:tc>
          <w:tcPr>
            <w:tcW w:w="311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30</w:t>
            </w:r>
          </w:p>
        </w:tc>
      </w:tr>
      <w:tr>
        <w:trPr>
          <w:trHeight w:val="549" w:hRule="atLeast"/>
        </w:trPr>
        <w:tc>
          <w:tcPr>
            <w:tcW w:w="4962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27"/>
              <w:jc w:val="end"/>
              <w:rPr>
                <w:rFonts w:ascii="Arial" w:hAnsi="Arial" w:eastAsia="Times New Roman" w:cs="Arial"/>
                <w:color w:themeColor="background1" w:val="FFFFFF"/>
                <w:lang w:eastAsia="pt-BR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>Total de Atendimentos Médicos (meta):</w:t>
            </w:r>
          </w:p>
        </w:tc>
        <w:tc>
          <w:tcPr>
            <w:tcW w:w="3118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1350</w:t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1.442</w:t>
            </w:r>
          </w:p>
        </w:tc>
      </w:tr>
      <w:tr>
        <w:trPr>
          <w:trHeight w:val="549" w:hRule="atLeast"/>
        </w:trPr>
        <w:tc>
          <w:tcPr>
            <w:tcW w:w="496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27"/>
              <w:jc w:val="start"/>
              <w:rPr>
                <w:rFonts w:ascii="Arial" w:hAnsi="Arial" w:eastAsia="Times New Roman" w:cs="Arial"/>
                <w:color w:themeColor="background1" w:val="FFFFFF"/>
                <w:lang w:eastAsia="pt-BR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Neurocirurgia</w:t>
            </w:r>
          </w:p>
        </w:tc>
        <w:tc>
          <w:tcPr>
            <w:tcW w:w="3118" w:type="dxa"/>
            <w:vMerge w:val="restart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Sem meta</w:t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496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27"/>
              <w:jc w:val="start"/>
              <w:rPr>
                <w:rFonts w:ascii="Arial" w:hAnsi="Arial" w:eastAsia="Times New Roman" w:cs="Arial"/>
                <w:color w:themeColor="background1" w:val="FFFFFF"/>
                <w:lang w:eastAsia="pt-BR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Clínica Geral</w:t>
            </w:r>
          </w:p>
        </w:tc>
        <w:tc>
          <w:tcPr>
            <w:tcW w:w="3118" w:type="dxa"/>
            <w:vMerge w:val="continue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102</w:t>
            </w:r>
          </w:p>
        </w:tc>
      </w:tr>
      <w:tr>
        <w:trPr>
          <w:trHeight w:val="549" w:hRule="atLeast"/>
        </w:trPr>
        <w:tc>
          <w:tcPr>
            <w:tcW w:w="8080" w:type="dxa"/>
            <w:gridSpan w:val="2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>Total de Atendimentos Médicos:</w:t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1.550</w:t>
            </w:r>
          </w:p>
        </w:tc>
      </w:tr>
    </w:tbl>
    <w:p>
      <w:pPr>
        <w:pStyle w:val="Title"/>
        <w:numPr>
          <w:ilvl w:val="0"/>
          <w:numId w:val="0"/>
        </w:numPr>
        <w:spacing w:lineRule="auto" w:line="360"/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W w:w="10774" w:type="dxa"/>
        <w:jc w:val="start"/>
        <w:tblInd w:w="-99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5"/>
        <w:gridCol w:w="2835"/>
        <w:gridCol w:w="2694"/>
      </w:tblGrid>
      <w:tr>
        <w:trPr>
          <w:tblHeader w:val="true"/>
          <w:trHeight w:val="417" w:hRule="atLeast"/>
        </w:trPr>
        <w:tc>
          <w:tcPr>
            <w:tcW w:w="524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Especialidades</w:t>
            </w:r>
          </w:p>
        </w:tc>
        <w:tc>
          <w:tcPr>
            <w:tcW w:w="283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269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420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Enfermagem</w:t>
            </w:r>
          </w:p>
        </w:tc>
        <w:tc>
          <w:tcPr>
            <w:tcW w:w="283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1550</w:t>
            </w:r>
          </w:p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1.163</w:t>
            </w:r>
          </w:p>
        </w:tc>
      </w:tr>
      <w:tr>
        <w:trPr>
          <w:trHeight w:val="425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Fisioterapia</w:t>
            </w:r>
          </w:p>
        </w:tc>
        <w:tc>
          <w:tcPr>
            <w:tcW w:w="283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252</w:t>
            </w:r>
          </w:p>
        </w:tc>
      </w:tr>
      <w:tr>
        <w:trPr>
          <w:trHeight w:val="414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Psicologia</w:t>
            </w:r>
          </w:p>
        </w:tc>
        <w:tc>
          <w:tcPr>
            <w:tcW w:w="283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272</w:t>
            </w:r>
          </w:p>
        </w:tc>
      </w:tr>
      <w:tr>
        <w:trPr>
          <w:trHeight w:val="405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Nutricionista</w:t>
            </w:r>
          </w:p>
        </w:tc>
        <w:tc>
          <w:tcPr>
            <w:tcW w:w="283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303</w:t>
            </w:r>
          </w:p>
        </w:tc>
      </w:tr>
      <w:tr>
        <w:trPr>
          <w:trHeight w:val="394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Farmácia</w:t>
            </w:r>
          </w:p>
        </w:tc>
        <w:tc>
          <w:tcPr>
            <w:tcW w:w="283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31</w:t>
            </w:r>
          </w:p>
        </w:tc>
      </w:tr>
      <w:tr>
        <w:trPr>
          <w:trHeight w:val="399" w:hRule="atLeast"/>
        </w:trPr>
        <w:tc>
          <w:tcPr>
            <w:tcW w:w="5245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Cirurgião</w:t>
            </w:r>
            <w:r>
              <w:rPr>
                <w:rFonts w:eastAsia="Calibri" w:cs="Arial" w:ascii="Arial" w:hAnsi="Arial"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Dentista/Buco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Maxilo</w:t>
            </w:r>
          </w:p>
        </w:tc>
        <w:tc>
          <w:tcPr>
            <w:tcW w:w="283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21</w:t>
            </w:r>
          </w:p>
        </w:tc>
      </w:tr>
      <w:tr>
        <w:trPr>
          <w:trHeight w:val="549" w:hRule="atLeast"/>
        </w:trPr>
        <w:tc>
          <w:tcPr>
            <w:tcW w:w="524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29"/>
              <w:jc w:val="end"/>
              <w:rPr>
                <w:rFonts w:ascii="Arial" w:hAnsi="Arial" w:eastAsia="Times New Roman" w:cs="Arial"/>
                <w:color w:themeColor="background1" w:val="FFFFFF"/>
                <w:lang w:eastAsia="pt-BR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>Total de Atendimentos Não Médicos:</w:t>
            </w:r>
          </w:p>
        </w:tc>
        <w:tc>
          <w:tcPr>
            <w:tcW w:w="2835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1.550</w:t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val="2B2B00"/>
              </w:rPr>
            </w:pPr>
            <w:r>
              <w:rPr>
                <w:rFonts w:eastAsia="Calibri" w:cs="Arial" w:ascii="Arial" w:hAnsi="Arial"/>
                <w:b/>
                <w:bCs/>
                <w:color w:val="2B2B00"/>
                <w:kern w:val="0"/>
                <w:sz w:val="22"/>
                <w:szCs w:val="22"/>
                <w:lang w:val="pt-BR" w:eastAsia="en-US" w:bidi="ar-SA"/>
              </w:rPr>
              <w:t>2.042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0" w:name="_Toc236814299"/>
      <w:r>
        <w:rPr>
          <w:rFonts w:cs="Arial" w:ascii="Arial" w:hAnsi="Arial"/>
          <w:b/>
          <w:bCs/>
          <w:i w:val="false"/>
          <w:iCs w:val="false"/>
          <w:color w:val="auto"/>
        </w:rPr>
        <w:t>3.1.4 Serviço de Apoio Diagnóstico e Terapêutico - SADT (Externo)</w:t>
      </w:r>
      <w:bookmarkEnd w:id="10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Corresponde à disponibilização e realização de exames de tomografia e </w:t>
      </w:r>
      <w:r>
        <w:rPr>
          <w:rFonts w:eastAsia="Times New Roman" w:cs="Arial" w:ascii="Arial" w:hAnsi="Arial"/>
          <w:b w:val="false"/>
          <w:bCs w:val="false"/>
          <w:color w:val="000000"/>
          <w:sz w:val="22"/>
          <w:szCs w:val="22"/>
          <w:lang w:eastAsia="pt-BR"/>
        </w:rPr>
        <w:t>Colangiopancreatografia Retrógrada Endoscópica - CPRE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regulados para a Unidade.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pPr w:vertAnchor="text" w:horzAnchor="text" w:leftFromText="141" w:rightFromText="141" w:tblpX="-998" w:tblpY="1"/>
        <w:tblOverlap w:val="never"/>
        <w:tblW w:w="10753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33"/>
        <w:gridCol w:w="2830"/>
        <w:gridCol w:w="2690"/>
      </w:tblGrid>
      <w:tr>
        <w:trPr>
          <w:tblHeader w:val="true"/>
          <w:trHeight w:val="406" w:hRule="atLeast"/>
        </w:trPr>
        <w:tc>
          <w:tcPr>
            <w:tcW w:w="5233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Exames</w:t>
            </w:r>
          </w:p>
        </w:tc>
        <w:tc>
          <w:tcPr>
            <w:tcW w:w="2830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84" w:leader="none"/>
                <w:tab w:val="center" w:pos="1026" w:leader="none"/>
              </w:tabs>
              <w:spacing w:lineRule="auto" w:line="360" w:before="40" w:after="0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2690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643" w:hRule="atLeast"/>
        </w:trPr>
        <w:tc>
          <w:tcPr>
            <w:tcW w:w="5233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 xml:space="preserve">Colangiopancreatografia Retrógrada Endoscópica </w:t>
            </w:r>
          </w:p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CPRE</w:t>
            </w:r>
          </w:p>
        </w:tc>
        <w:tc>
          <w:tcPr>
            <w:tcW w:w="2830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pt-BR" w:eastAsia="en-US" w:bidi="ar-SA"/>
              </w:rPr>
              <w:t>3</w:t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12</w:t>
            </w:r>
          </w:p>
        </w:tc>
      </w:tr>
      <w:tr>
        <w:trPr>
          <w:trHeight w:val="396" w:hRule="atLeast"/>
        </w:trPr>
        <w:tc>
          <w:tcPr>
            <w:tcW w:w="5233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-1136"/>
              <w:jc w:val="start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Tomografia Computadorizada</w:t>
            </w:r>
          </w:p>
        </w:tc>
        <w:tc>
          <w:tcPr>
            <w:tcW w:w="2830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lang w:val="pt-BR" w:eastAsia="en-US" w:bidi="ar-SA"/>
              </w:rPr>
              <w:t>50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55</w:t>
            </w:r>
          </w:p>
        </w:tc>
      </w:tr>
      <w:tr>
        <w:trPr>
          <w:trHeight w:val="414" w:hRule="atLeast"/>
        </w:trPr>
        <w:tc>
          <w:tcPr>
            <w:tcW w:w="5233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hanging="567" w:start="589" w:end="27"/>
              <w:jc w:val="end"/>
              <w:rPr>
                <w:rFonts w:ascii="Arial" w:hAnsi="Arial" w:eastAsia="Times New Roman" w:cs="Arial"/>
                <w:color w:themeColor="background1" w:val="FFFFFF"/>
                <w:lang w:eastAsia="pt-BR"/>
              </w:rPr>
            </w:pPr>
            <w:r>
              <w:rPr>
                <w:rFonts w:eastAsia="Times New Roman" w:cs="Arial" w:ascii="Arial" w:hAnsi="Arial"/>
                <w:color w:themeColor="background1" w:val="FFFFFF"/>
                <w:kern w:val="0"/>
                <w:sz w:val="22"/>
                <w:szCs w:val="22"/>
                <w:lang w:val="pt-BR" w:eastAsia="pt-BR" w:bidi="ar-SA"/>
              </w:rPr>
              <w:t xml:space="preserve">Total: </w:t>
            </w:r>
          </w:p>
        </w:tc>
        <w:tc>
          <w:tcPr>
            <w:tcW w:w="283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eastAsia="Calibri" w:cs="Arial" w:ascii="Arial" w:hAnsi="Arial"/>
                <w:b/>
                <w:bCs/>
                <w:color w:val="000000"/>
                <w:kern w:val="0"/>
                <w:sz w:val="22"/>
                <w:szCs w:val="22"/>
                <w:lang w:val="pt-BR" w:eastAsia="en-US" w:bidi="ar-SA"/>
              </w:rPr>
              <w:t>53</w:t>
            </w:r>
          </w:p>
        </w:tc>
        <w:tc>
          <w:tcPr>
            <w:tcW w:w="26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67</w:t>
            </w:r>
          </w:p>
        </w:tc>
      </w:tr>
    </w:tbl>
    <w:p>
      <w:pPr>
        <w:pStyle w:val="Title"/>
        <w:numPr>
          <w:ilvl w:val="0"/>
          <w:numId w:val="0"/>
        </w:numPr>
        <w:spacing w:lineRule="auto" w:line="360"/>
        <w:ind w:hanging="0" w:star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1" w:name="_Toc236814300"/>
      <w:r>
        <w:rPr>
          <w:rFonts w:cs="Arial" w:ascii="Arial" w:hAnsi="Arial"/>
          <w:b/>
          <w:bCs/>
          <w:i w:val="false"/>
          <w:iCs w:val="false"/>
          <w:color w:val="auto"/>
        </w:rPr>
        <w:t>3.1.5 Leito dia</w:t>
      </w:r>
      <w:bookmarkEnd w:id="11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O Hospital Dia é disponibilizado aos pacientes que comparecem à Unidade apenas para recebimento de dose esquemática de medicação endovenosa, procedimentos ambulatoriais, pacientes clínicos e/ou cirúrgicos que necessitam de permanecer na Unidade por um período máximo de 12 horas.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elacomgrade"/>
        <w:tblW w:w="10774" w:type="dxa"/>
        <w:jc w:val="start"/>
        <w:tblInd w:w="-99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5"/>
        <w:gridCol w:w="2835"/>
        <w:gridCol w:w="2694"/>
      </w:tblGrid>
      <w:tr>
        <w:trPr>
          <w:trHeight w:val="449" w:hRule="atLeast"/>
        </w:trPr>
        <w:tc>
          <w:tcPr>
            <w:tcW w:w="5245" w:type="dxa"/>
            <w:vMerge w:val="restart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TOTAL DE ATENDIMENTOS</w:t>
            </w:r>
          </w:p>
        </w:tc>
        <w:tc>
          <w:tcPr>
            <w:tcW w:w="2835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Meta</w:t>
            </w:r>
          </w:p>
        </w:tc>
        <w:tc>
          <w:tcPr>
            <w:tcW w:w="269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438" w:hRule="atLeast"/>
        </w:trPr>
        <w:tc>
          <w:tcPr>
            <w:tcW w:w="5245" w:type="dxa"/>
            <w:vMerge w:val="continue"/>
            <w:tcBorders/>
            <w:shd w:color="auto" w:fill="C5E0B3" w:themeFill="accent6" w:themeFillTint="66" w:val="clear"/>
            <w:vAlign w:val="center"/>
          </w:tcPr>
          <w:p>
            <w:pPr>
              <w:pStyle w:val="Normal"/>
              <w:widowControl/>
              <w:spacing w:lineRule="auto" w:line="36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835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88</w:t>
            </w:r>
          </w:p>
        </w:tc>
        <w:tc>
          <w:tcPr>
            <w:tcW w:w="26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58</w:t>
            </w:r>
          </w:p>
        </w:tc>
      </w:tr>
    </w:tbl>
    <w:p>
      <w:pPr>
        <w:pStyle w:val="Heading3"/>
        <w:numPr>
          <w:ilvl w:val="0"/>
          <w:numId w:val="0"/>
        </w:numPr>
        <w:spacing w:lineRule="auto" w:line="360"/>
        <w:ind w:hanging="0" w:start="0" w:end="-1136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2" w:name="_Toc236814301"/>
      <w:r>
        <w:rPr>
          <w:rFonts w:cs="Arial" w:ascii="Arial" w:hAnsi="Arial"/>
          <w:b/>
          <w:bCs/>
          <w:i w:val="false"/>
          <w:iCs w:val="false"/>
          <w:color w:val="auto"/>
        </w:rPr>
        <w:t>3.1.6 SADT Interno</w:t>
      </w:r>
      <w:bookmarkEnd w:id="12"/>
    </w:p>
    <w:tbl>
      <w:tblPr>
        <w:tblStyle w:val="Tabelacomgrade"/>
        <w:tblW w:w="10774" w:type="dxa"/>
        <w:jc w:val="start"/>
        <w:tblInd w:w="-99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804"/>
        <w:gridCol w:w="3970"/>
      </w:tblGrid>
      <w:tr>
        <w:trPr>
          <w:tblHeader w:val="true"/>
          <w:trHeight w:val="414" w:hRule="atLeast"/>
        </w:trPr>
        <w:tc>
          <w:tcPr>
            <w:tcW w:w="680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MOTIVOS</w:t>
            </w:r>
          </w:p>
        </w:tc>
        <w:tc>
          <w:tcPr>
            <w:tcW w:w="3970" w:type="dxa"/>
            <w:tcBorders/>
            <w:shd w:color="auto" w:fill="00344C" w:val="clear"/>
            <w:vAlign w:val="center"/>
          </w:tcPr>
          <w:p>
            <w:pPr>
              <w:pStyle w:val="Normal"/>
              <w:keepNext w:val="true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REALIZADOS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Agência Transfusional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146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Análises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Clínicas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Sorologias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17.075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Anatomia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Patológica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eastAsia="Calibri" w:cs="Arial"/>
                <w:color w:themeColor="text1" w:val="000000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Ecocardiograma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Eletrocardiografia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560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  <w:spacing w:val="-2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Eletroencefalograma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Endoscopia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Hemodiálise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Radiologia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2.200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Tomografia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1.020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Ultrassonografia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109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Fisioterapia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7.226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Fonoaudiologia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856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Psicologia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1.926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34" w:end="-1136"/>
              <w:jc w:val="star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Terapia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Ocupacional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start="-993" w:end="-1136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04" w:type="dxa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993" w:end="30"/>
              <w:jc w:val="end"/>
              <w:rPr>
                <w:rFonts w:ascii="Arial" w:hAnsi="Arial" w:cs="Arial"/>
                <w:color w:themeColor="background1" w:val="FFFFFF"/>
              </w:rPr>
            </w:pPr>
            <w:r>
              <w:rPr>
                <w:rFonts w:eastAsia="Calibri" w:cs="Arial" w:ascii="Arial" w:hAnsi="Arial"/>
                <w:color w:themeColor="background1" w:val="FFFFFF"/>
                <w:kern w:val="0"/>
                <w:sz w:val="22"/>
                <w:szCs w:val="22"/>
                <w:lang w:val="pt-BR" w:eastAsia="en-US" w:bidi="ar-SA"/>
              </w:rPr>
              <w:t>TOTAL REALIZADO: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Calibri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31.288</w:t>
            </w:r>
          </w:p>
        </w:tc>
      </w:tr>
    </w:tbl>
    <w:p>
      <w:pPr>
        <w:pStyle w:val="Normal"/>
        <w:spacing w:lineRule="auto" w:line="360"/>
        <w:ind w:start="-993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"/>
        <w:numPr>
          <w:ilvl w:val="0"/>
          <w:numId w:val="0"/>
        </w:numPr>
        <w:spacing w:lineRule="auto" w:line="360"/>
        <w:ind w:hanging="0" w:start="-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3"/>
        <w:numPr>
          <w:ilvl w:val="0"/>
          <w:numId w:val="0"/>
        </w:numPr>
        <w:ind w:hanging="0" w:start="-567"/>
        <w:rPr>
          <w:rFonts w:ascii="Arial" w:hAnsi="Arial" w:cs="Arial"/>
          <w:b/>
          <w:bCs/>
          <w:color w:val="auto"/>
          <w:sz w:val="22"/>
          <w:szCs w:val="22"/>
        </w:rPr>
      </w:pPr>
      <w:bookmarkStart w:id="13" w:name="_Toc236814302"/>
      <w:r>
        <w:rPr>
          <w:rFonts w:cs="Arial" w:ascii="Arial" w:hAnsi="Arial"/>
          <w:b/>
          <w:bCs/>
          <w:color w:val="auto"/>
          <w:sz w:val="22"/>
          <w:szCs w:val="22"/>
        </w:rPr>
        <w:t>3.2 INDICADORES DE DESEMPENHO</w:t>
      </w:r>
      <w:bookmarkEnd w:id="13"/>
      <w:r>
        <w:rPr>
          <w:rFonts w:cs="Arial" w:ascii="Arial" w:hAnsi="Arial"/>
          <w:b/>
          <w:bCs/>
          <w:color w:val="auto"/>
          <w:sz w:val="22"/>
          <w:szCs w:val="22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Os indicadores de desempenho estão diretamente ligados à eficiência, efetividade e qualidade dos processos de gestão dos atendimentos oferecidos aos usuários da unidade. </w:t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4" w:name="_Toc236814303"/>
      <w:r>
        <w:rPr>
          <w:rFonts w:cs="Arial" w:ascii="Arial" w:hAnsi="Arial"/>
          <w:b/>
          <w:bCs/>
          <w:i w:val="false"/>
          <w:iCs w:val="false"/>
          <w:color w:val="auto"/>
        </w:rPr>
        <w:t>3.2.1 Taxa de Ocupação Hospitalar</w:t>
      </w:r>
      <w:bookmarkEnd w:id="14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 taxa de ocupação hospitalar compreende a relação percentual entre o número de pacientes-dia, em determinado período, e o número de leitos-dia no mesmo período. O dado é obtido utilizando a seguinte fórmula:  </w:t>
      </w:r>
      <w:r>
        <w:rPr>
          <w:rFonts w:cs="Arial" w:ascii="Arial" w:hAnsi="Arial"/>
          <w:b/>
          <w:bCs/>
        </w:rPr>
        <w:t>[Total de Pacientes-dia no período / Total de leitos operacionais-dia do período]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5" w:name="_Toc236814304"/>
      <w:r>
        <w:rPr>
          <w:rFonts w:cs="Arial" w:ascii="Arial" w:hAnsi="Arial"/>
          <w:b/>
          <w:bCs/>
          <w:i w:val="false"/>
          <w:iCs w:val="false"/>
          <w:color w:val="auto"/>
        </w:rPr>
        <w:t>3.2.2 Média de Permanência Hospitalar (dias)</w:t>
      </w:r>
      <w:bookmarkEnd w:id="15"/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É a relação entre o total de pacientes-dia no período e o total de pacientes egressos do hospital (por altas, transferência externa e ou óbitos no mesmo período). Representa o tempo médio de internações dos pacientes nos leitos hospitalares. </w:t>
      </w:r>
      <w:r>
        <w:rPr>
          <w:rFonts w:cs="Arial" w:ascii="Arial" w:hAnsi="Arial"/>
          <w:b/>
          <w:bCs/>
        </w:rPr>
        <w:t>Fórmula: [Total de pacientes-dia no período / Total de saídas no período]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6" w:name="_Toc236814305"/>
      <w:r>
        <w:rPr>
          <w:rFonts w:cs="Arial" w:ascii="Arial" w:hAnsi="Arial"/>
          <w:b/>
          <w:bCs/>
          <w:i w:val="false"/>
          <w:iCs w:val="false"/>
          <w:color w:val="auto"/>
        </w:rPr>
        <w:t>3.2.3 Índice de Intervalo de Substituição (dias)</w:t>
      </w:r>
      <w:bookmarkEnd w:id="16"/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Refere-se o tempo médio em que um leito permanece desocupado, entre a saída de um paciente e a admissão de outro. Essa medida relaciona a taxa de ocupação com a média de permanência.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Fórmula: [(100-Taxa de ocupação hospitalar) x Média de tempo de permanência] / Taxa de ocupação hospitalar]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7" w:name="_Toc236814306"/>
      <w:r>
        <w:rPr>
          <w:rFonts w:cs="Arial" w:ascii="Arial" w:hAnsi="Arial"/>
          <w:b/>
          <w:bCs/>
          <w:i w:val="false"/>
          <w:iCs w:val="false"/>
          <w:color w:val="auto"/>
        </w:rPr>
        <w:t>3.2.4 Taxa de Readmissão Hospitalar pelo mesmo CID (em até 29 dias)</w:t>
      </w:r>
      <w:bookmarkEnd w:id="17"/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Mede a taxa de pessoas que retornaram ao hospital em até 29 dias desde a última vez que deixaram a unidade hospitalar após a primeira admissão. </w:t>
      </w:r>
      <w:r>
        <w:rPr>
          <w:rFonts w:cs="Arial" w:ascii="Arial" w:hAnsi="Arial"/>
          <w:b/>
          <w:bCs/>
        </w:rPr>
        <w:t>Fórmula: [Número de pacientes readmitidos entre 0 e 29 dias da última alta hospitalar / Número total de internações hospitalares]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</w:rPr>
      </w:pPr>
      <w:bookmarkStart w:id="18" w:name="_Toc236814307"/>
      <w:r>
        <w:rPr>
          <w:rFonts w:cs="Arial" w:ascii="Arial" w:hAnsi="Arial"/>
          <w:b/>
          <w:bCs/>
          <w:i w:val="false"/>
          <w:iCs w:val="false"/>
          <w:color w:val="auto"/>
        </w:rPr>
        <w:t>3.2.5 Taxa de Readmissão em UTI em até 48 horas</w:t>
      </w:r>
      <w:bookmarkEnd w:id="18"/>
      <w:r>
        <w:rPr>
          <w:rFonts w:cs="Arial" w:ascii="Arial" w:hAnsi="Arial"/>
          <w:b/>
          <w:bCs/>
          <w:i w:val="false"/>
          <w:iCs w:val="false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Mede a taxa de pacientes que retornaram à UTI do mesmo hospital em até 48 horas desde a última vez que deixaram a UTI da unidade hospitalar após a primeira admissão. </w:t>
      </w:r>
      <w:r>
        <w:rPr>
          <w:rFonts w:cs="Arial" w:ascii="Arial" w:hAnsi="Arial"/>
          <w:b/>
          <w:bCs/>
        </w:rPr>
        <w:t>Fórmula: [No de retornos em até 48 horas/ No de saídas da UTI, por alta]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19" w:name="_Toc236814308"/>
      <w:r>
        <w:rPr>
          <w:rFonts w:cs="Arial" w:ascii="Arial" w:hAnsi="Arial"/>
          <w:b/>
          <w:bCs/>
          <w:i w:val="false"/>
          <w:iCs w:val="false"/>
          <w:color w:val="auto"/>
        </w:rPr>
        <w:t>3.2.6 Percentual de Ocorrência de Glosas no SIH</w:t>
      </w:r>
      <w:bookmarkEnd w:id="19"/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>Mede a relação de procedimentos rejeitados no sistema de informações hospitalares do SUS (SIH/SUS) em relação ao total de procedimentos hospitalares apresentados no mesmo Sistema, no período</w:t>
      </w:r>
      <w:r>
        <w:rPr>
          <w:rFonts w:cs="Arial" w:ascii="Arial" w:hAnsi="Arial"/>
          <w:b/>
          <w:bCs/>
        </w:rPr>
        <w:t>. Fórmula: [Total de procedimentos rejeitados no SIH / total de procedimentos apresentados no SIH]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0" w:name="_Toc236814309"/>
      <w:r>
        <w:rPr>
          <w:rFonts w:cs="Arial" w:ascii="Arial" w:hAnsi="Arial"/>
          <w:b/>
          <w:bCs/>
          <w:i w:val="false"/>
          <w:iCs w:val="false"/>
          <w:color w:val="auto"/>
        </w:rPr>
        <w:t>3.2.7 Percentual de Suspensão de Cirurgias Eletivas por condições operacionais</w:t>
      </w:r>
      <w:bookmarkEnd w:id="20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Refere-se ao total de cirurgias eletivas que foram suspensas, por motivos relacionados à organização da Unidade, em relação ao total de cirurgias agendadas, como exemplo: falta de vaga na internação, erro de programação, falta de exame pré-operatório, por ocorrência de cirurgia de emergência, em relação ao total de cirurgias agendadas, no período. </w:t>
      </w:r>
      <w:r>
        <w:rPr>
          <w:rFonts w:cs="Arial" w:ascii="Arial" w:hAnsi="Arial"/>
          <w:b/>
          <w:bCs/>
        </w:rPr>
        <w:t>Fórmula: [No de cirurgias eletivas suspensas/No de cirurgias eletivas (mapa cirúrgico)]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1" w:name="_Toc236814310"/>
      <w:r>
        <w:rPr>
          <w:rFonts w:cs="Arial" w:ascii="Arial" w:hAnsi="Arial"/>
          <w:b/>
          <w:bCs/>
          <w:i w:val="false"/>
          <w:iCs w:val="false"/>
          <w:color w:val="auto"/>
        </w:rPr>
        <w:t>3.2.8 Percentual de cirurgias eletivas realizadas com TMAT expirado</w:t>
      </w:r>
      <w:bookmarkEnd w:id="21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Indicador que sinaliza se as cirurgias eletivas realizadas na unidade estão tendendo a respeitar um tempo de espera máximo clinicamente aceitável conforme o critério SWALIS de classificação de prioridade atribuído pelo médico assistente. </w:t>
      </w:r>
      <w:r>
        <w:rPr>
          <w:rFonts w:cs="Arial" w:ascii="Arial" w:hAnsi="Arial"/>
          <w:b/>
          <w:bCs/>
        </w:rPr>
        <w:t>Fórmula: [Número de cirurgias realizadas com TMAT expirado dividido / Número de cirurgias eletivas em lista de espera e encaminhado para unidade] x 100.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2" w:name="_Toc236814311"/>
      <w:r>
        <w:rPr>
          <w:rFonts w:cs="Arial" w:ascii="Arial" w:hAnsi="Arial"/>
          <w:b/>
          <w:bCs/>
          <w:i w:val="false"/>
          <w:iCs w:val="false"/>
          <w:color w:val="auto"/>
        </w:rPr>
        <w:t>3.2.9 Percentual de exames de imagem com resultado entregue em até 10 dias.</w:t>
      </w:r>
      <w:bookmarkEnd w:id="22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Proporção de exames de imagem externos com resultado liberado em até 10 dias (tempo entre a realização do exame de imagem e a liberação do resultado). </w:t>
      </w:r>
      <w:r>
        <w:rPr>
          <w:rFonts w:cs="Arial" w:ascii="Arial" w:hAnsi="Arial"/>
          <w:b/>
          <w:bCs/>
        </w:rPr>
        <w:t>Fórmula: [Número de exames de imagem entregues em até 10 dias / total de exames de imagem realizados no período multiplicado] X 100</w:t>
      </w:r>
      <w:r>
        <w:rPr>
          <w:rFonts w:cs="Arial" w:ascii="Arial" w:hAnsi="Arial"/>
        </w:rPr>
        <w:t>.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4"/>
        <w:jc w:val="both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3" w:name="_Toc236814312"/>
      <w:r>
        <w:rPr>
          <w:rFonts w:cs="Arial" w:ascii="Arial" w:hAnsi="Arial"/>
          <w:b/>
          <w:bCs/>
          <w:i w:val="false"/>
          <w:iCs w:val="false"/>
          <w:color w:val="auto"/>
        </w:rPr>
        <w:t>3.2.10 Percentual de casos de doenças/agravos/eventos de notificação compulsória imediata (DAEI) digitados oportunamente</w:t>
      </w:r>
      <w:bookmarkEnd w:id="23"/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Avalia a capacidade de detecção de DAEI nas unidades de saúde, por meio da digitação das notificações das doenças/agravos/eventos de saúde de notificação compulsória imediata de forma oportuna (≤ à 07 dias) nos sistemas de informações de saúde oficiais (SINAN-NET/SINAN-ONLINE/SIVEP-Gripe/e-SUS/e-SUS- SINAN). </w:t>
      </w:r>
      <w:r>
        <w:rPr>
          <w:rFonts w:cs="Arial" w:ascii="Arial" w:hAnsi="Arial"/>
          <w:b/>
          <w:bCs/>
        </w:rPr>
        <w:t>Fórmula: Nº de casos de DAEI digitadas em tempo oportuno - até 7 dias/ Nº de casos de DAEI digitadas (no período/mês)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jc w:val="both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4" w:name="_Toc236814313"/>
      <w:r>
        <w:rPr>
          <w:rFonts w:cs="Arial" w:ascii="Arial" w:hAnsi="Arial"/>
          <w:b/>
          <w:bCs/>
          <w:i w:val="false"/>
          <w:iCs w:val="false"/>
          <w:color w:val="auto"/>
        </w:rPr>
        <w:t>3.2.11 Percentual de casos de doenças/agravos/eventos de notificação compulsória imediata (DAEI) investigados oportunamente</w:t>
      </w:r>
      <w:bookmarkEnd w:id="24"/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Avalia a capacidade de detecção e investigação das DAEI nas unidades de saúde, por meio da investigação das notificações das doenças/agravos/eventos de saúde de notificação compulsória imediata investigadas oportunamente (≤ à 48 horas da data de notificação) nos sistemas de informações de saúde oficiais (SINAN-NET/SINAN-ONLINE/SIVEP-Gripe/e-SUS/e-SUSSINAN). </w:t>
      </w:r>
      <w:r>
        <w:rPr>
          <w:rFonts w:cs="Arial" w:ascii="Arial" w:hAnsi="Arial"/>
          <w:b/>
          <w:bCs/>
        </w:rPr>
        <w:t>Fórmula: Nº de casos de DAEI investigadas em tempo oportuno - até 48 horas da data da notificação/ Nº de casos de DAEI notificadas (no período/mês)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</w:rPr>
      </w:pPr>
      <w:bookmarkStart w:id="25" w:name="_Toc236814314"/>
      <w:r>
        <w:rPr>
          <w:rFonts w:cs="Arial" w:ascii="Arial" w:hAnsi="Arial"/>
          <w:b/>
          <w:bCs/>
          <w:i w:val="false"/>
          <w:iCs w:val="false"/>
          <w:color w:val="auto"/>
        </w:rPr>
        <w:t>3.2.12 Taxa de perda financeira por vencimento de medicamentos</w:t>
      </w:r>
      <w:bookmarkEnd w:id="25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Permite a redução da perda de medicamentos por vencimento pela unidades de saúde, a partir do aprimoramento e implantação de ferramentas e processos de trabalho. </w:t>
      </w:r>
      <w:r>
        <w:rPr>
          <w:rFonts w:cs="Arial" w:ascii="Arial" w:hAnsi="Arial"/>
          <w:b/>
          <w:bCs/>
        </w:rPr>
        <w:t>Fórmula: [Valor financeiro da perda de medicamento padronizado por validade expirada no mês (R$)/ valor financeiro do total de medicamentos em estoque(R$)]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6" w:name="_Toc236814315"/>
      <w:r>
        <w:rPr>
          <w:rFonts w:cs="Arial" w:ascii="Arial" w:hAnsi="Arial"/>
          <w:b/>
          <w:bCs/>
          <w:i w:val="false"/>
          <w:iCs w:val="false"/>
          <w:color w:val="auto"/>
        </w:rPr>
        <w:t>3.2.13 Taxa de acurácia do estoque</w:t>
      </w:r>
      <w:bookmarkEnd w:id="26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Esse indicador tem por objetivo monitorar a exatidão do estoque de medicamentos hospitalar geridos pela Farmácia. A avaliação da acuracidade indica se o estoque e as compras estão coerentes com a realidade da instituição e se há falhas durante o processo de controle de estoque. </w:t>
      </w:r>
      <w:r>
        <w:rPr>
          <w:rFonts w:cs="Arial" w:ascii="Arial" w:hAnsi="Arial"/>
          <w:b/>
          <w:bCs/>
        </w:rPr>
        <w:t>Fórmula: [Quantitativo de itens de medicamentos em conformidade no estoque (ao comparar físico e sistema) / Quantidade total de itens em estoque] x 100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Heading4"/>
        <w:rPr>
          <w:rFonts w:ascii="Arial" w:hAnsi="Arial" w:cs="Arial"/>
          <w:b/>
          <w:bCs/>
          <w:i w:val="false"/>
          <w:iCs w:val="false"/>
          <w:color w:val="auto"/>
        </w:rPr>
      </w:pPr>
      <w:bookmarkStart w:id="27" w:name="_Toc236814316"/>
      <w:r>
        <w:rPr>
          <w:rFonts w:cs="Arial" w:ascii="Arial" w:hAnsi="Arial"/>
          <w:b/>
          <w:bCs/>
          <w:i w:val="false"/>
          <w:iCs w:val="false"/>
          <w:color w:val="auto"/>
        </w:rPr>
        <w:t>3.2.14 Taxa de aceitabilidade das intervenções farmacêuticas</w:t>
      </w:r>
      <w:bookmarkEnd w:id="27"/>
      <w:r>
        <w:rPr>
          <w:rFonts w:cs="Arial" w:ascii="Arial" w:hAnsi="Arial"/>
          <w:b/>
          <w:bCs/>
          <w:i w:val="false"/>
          <w:iCs w:val="false"/>
          <w:color w:val="auto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Esse indicador é útil para avaliar o desempenho do serviço de farmácia clínica e a importância desse serviço para a segurança do paciente através da prevenção de problemas relacionados a medicamentos. </w:t>
      </w:r>
      <w:r>
        <w:rPr>
          <w:rFonts w:cs="Arial" w:ascii="Arial" w:hAnsi="Arial"/>
          <w:b/>
          <w:bCs/>
        </w:rPr>
        <w:t>Fórmula: [Número de intervenções aceitas/ Número absoluto de intervenções registradas que requer aceitação] x 100</w:t>
      </w:r>
    </w:p>
    <w:p>
      <w:pPr>
        <w:pStyle w:val="BodyText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BodyText"/>
        <w:rPr>
          <w:rFonts w:ascii="Arial" w:hAnsi="Arial" w:cs="Arial"/>
        </w:rPr>
      </w:pPr>
      <w:r>
        <w:rPr>
          <w:rFonts w:cs="Arial" w:ascii="Arial" w:hAnsi="Arial"/>
        </w:rPr>
        <w:t>A seguir, os indicadores de desempenho referentes à julho de 2026:</w:t>
      </w:r>
    </w:p>
    <w:tbl>
      <w:tblPr>
        <w:tblStyle w:val="Tabelacomgrade"/>
        <w:tblW w:w="1062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806"/>
        <w:gridCol w:w="1844"/>
        <w:gridCol w:w="2977"/>
      </w:tblGrid>
      <w:tr>
        <w:trPr>
          <w:tblHeader w:val="true"/>
          <w:trHeight w:val="544" w:hRule="atLeast"/>
        </w:trPr>
        <w:tc>
          <w:tcPr>
            <w:tcW w:w="10627" w:type="dxa"/>
            <w:gridSpan w:val="3"/>
            <w:tcBorders/>
            <w:shd w:color="auto" w:fill="00344C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INDICADORES DE DESEMPENHO</w:t>
            </w:r>
          </w:p>
        </w:tc>
      </w:tr>
      <w:tr>
        <w:trPr>
          <w:tblHeader w:val="true"/>
          <w:trHeight w:val="522" w:hRule="atLeast"/>
        </w:trPr>
        <w:tc>
          <w:tcPr>
            <w:tcW w:w="5806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Indicador de Desempenho</w:t>
            </w:r>
          </w:p>
        </w:tc>
        <w:tc>
          <w:tcPr>
            <w:tcW w:w="184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Meta Mensal</w:t>
            </w:r>
          </w:p>
        </w:tc>
        <w:tc>
          <w:tcPr>
            <w:tcW w:w="2977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-993" w:end="-1136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Realizado</w:t>
            </w:r>
          </w:p>
        </w:tc>
      </w:tr>
      <w:tr>
        <w:trPr>
          <w:trHeight w:val="613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Taxa</w:t>
            </w:r>
            <w:r>
              <w:rPr>
                <w:rFonts w:eastAsia="Calibri" w:cs="Arial" w:ascii="Arial" w:hAnsi="Arial"/>
                <w:b/>
                <w:bCs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bCs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Ocupação</w:t>
            </w:r>
            <w:r>
              <w:rPr>
                <w:rFonts w:eastAsia="Calibri" w:cs="Arial" w:ascii="Arial" w:hAnsi="Arial"/>
                <w:b/>
                <w:bCs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bCs/>
                <w:spacing w:val="-2"/>
                <w:kern w:val="0"/>
                <w:sz w:val="22"/>
                <w:szCs w:val="22"/>
                <w:lang w:val="pt-BR" w:eastAsia="en-US" w:bidi="ar-SA"/>
              </w:rPr>
              <w:t>Hospitalar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pacing w:val="-4"/>
                <w:kern w:val="0"/>
                <w:sz w:val="22"/>
                <w:szCs w:val="22"/>
                <w:lang w:val="pt-BR" w:eastAsia="en-US" w:bidi="ar-SA"/>
              </w:rPr>
              <w:t>≥</w:t>
            </w:r>
            <w:r>
              <w:rPr>
                <w:rFonts w:eastAsia="Calibri" w:cs="Arial" w:ascii="Arial" w:hAnsi="Arial"/>
                <w:b/>
                <w:bCs/>
                <w:spacing w:val="-4"/>
                <w:kern w:val="0"/>
                <w:sz w:val="22"/>
                <w:szCs w:val="22"/>
                <w:lang w:val="pt-BR" w:eastAsia="en-US" w:bidi="ar-SA"/>
              </w:rPr>
              <w:t>90</w:t>
            </w:r>
            <w:r>
              <w:rPr>
                <w:rFonts w:eastAsia="Calibri" w:cs="Arial" w:ascii="Arial" w:hAnsi="Arial"/>
                <w:b/>
                <w:bCs/>
                <w:spacing w:val="-4"/>
                <w:kern w:val="0"/>
                <w:sz w:val="22"/>
                <w:szCs w:val="22"/>
                <w:lang w:val="pt-BR" w:eastAsia="en-US" w:bidi="ar-SA"/>
              </w:rPr>
              <w:t>%</w:t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91,28%</w:t>
            </w:r>
          </w:p>
        </w:tc>
      </w:tr>
      <w:tr>
        <w:trPr>
          <w:trHeight w:val="661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Pacientes-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>dia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2.262</w:t>
            </w:r>
          </w:p>
        </w:tc>
      </w:tr>
      <w:tr>
        <w:trPr>
          <w:trHeight w:val="728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Leito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operacionais-dia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do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período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2.478</w:t>
            </w:r>
          </w:p>
        </w:tc>
      </w:tr>
      <w:tr>
        <w:trPr>
          <w:trHeight w:val="713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Média</w:t>
            </w:r>
            <w:r>
              <w:rPr>
                <w:rFonts w:eastAsia="Calibri" w:cs="Arial" w:ascii="Arial" w:hAnsi="Arial"/>
                <w:b/>
                <w:bCs/>
                <w:spacing w:val="-1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bCs/>
                <w:spacing w:val="-1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Permanência</w:t>
            </w:r>
            <w:r>
              <w:rPr>
                <w:rFonts w:eastAsia="Calibri" w:cs="Arial" w:ascii="Arial" w:hAnsi="Arial"/>
                <w:b/>
                <w:bCs/>
                <w:spacing w:val="-1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bCs/>
                <w:spacing w:val="-2"/>
                <w:kern w:val="0"/>
                <w:sz w:val="22"/>
                <w:szCs w:val="22"/>
                <w:lang w:val="pt-BR" w:eastAsia="en-US" w:bidi="ar-SA"/>
              </w:rPr>
              <w:t>Hospitalar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spacing w:val="-5"/>
                <w:kern w:val="0"/>
                <w:sz w:val="22"/>
                <w:szCs w:val="22"/>
                <w:lang w:val="pt-BR" w:eastAsia="en-US" w:bidi="ar-SA"/>
              </w:rPr>
              <w:t>≤</w:t>
            </w:r>
            <w:r>
              <w:rPr>
                <w:rFonts w:eastAsia="Calibri" w:cs="Arial" w:ascii="Arial" w:hAnsi="Arial"/>
                <w:b/>
                <w:bCs/>
                <w:spacing w:val="-5"/>
                <w:kern w:val="0"/>
                <w:sz w:val="22"/>
                <w:szCs w:val="22"/>
                <w:lang w:val="pt-BR" w:eastAsia="en-US" w:bidi="ar-SA"/>
              </w:rPr>
              <w:t>5 dias</w:t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4,39</w:t>
            </w:r>
          </w:p>
        </w:tc>
      </w:tr>
      <w:tr>
        <w:trPr>
          <w:trHeight w:val="66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Pacientes-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>dia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2.262</w:t>
            </w:r>
          </w:p>
        </w:tc>
      </w:tr>
      <w:tr>
        <w:trPr>
          <w:trHeight w:val="66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Saídas</w:t>
            </w:r>
            <w:r>
              <w:rPr>
                <w:rFonts w:eastAsia="Calibri" w:cs="Arial" w:ascii="Arial" w:hAnsi="Arial"/>
                <w:spacing w:val="-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no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período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515</w:t>
            </w:r>
          </w:p>
        </w:tc>
      </w:tr>
      <w:tr>
        <w:trPr>
          <w:trHeight w:val="823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Índice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Intervalo</w:t>
            </w:r>
            <w:r>
              <w:rPr>
                <w:rFonts w:eastAsia="Calibri" w:cs="Arial" w:ascii="Arial" w:hAnsi="Arial"/>
                <w:b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Substituição</w:t>
            </w:r>
            <w:r>
              <w:rPr>
                <w:rFonts w:eastAsia="Calibri" w:cs="Arial" w:ascii="Arial" w:hAnsi="Arial"/>
                <w:b/>
                <w:spacing w:val="-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2"/>
                <w:kern w:val="0"/>
                <w:sz w:val="22"/>
                <w:szCs w:val="22"/>
                <w:lang w:val="pt-BR" w:eastAsia="en-US" w:bidi="ar-SA"/>
              </w:rPr>
              <w:t>(em dias)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≤ 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21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0,42</w:t>
            </w:r>
          </w:p>
        </w:tc>
      </w:tr>
      <w:tr>
        <w:trPr>
          <w:trHeight w:val="691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Taxa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Ocupação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Hospitalar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91,28%</w:t>
            </w:r>
          </w:p>
        </w:tc>
      </w:tr>
      <w:tr>
        <w:trPr>
          <w:trHeight w:val="701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Média</w:t>
            </w:r>
            <w:r>
              <w:rPr>
                <w:rFonts w:eastAsia="Calibri" w:cs="Arial" w:ascii="Arial" w:hAnsi="Arial"/>
                <w:spacing w:val="-1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1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Permanência</w:t>
            </w:r>
            <w:r>
              <w:rPr>
                <w:rFonts w:eastAsia="Calibri" w:cs="Arial" w:ascii="Arial" w:hAnsi="Arial"/>
                <w:spacing w:val="-1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hospitalar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 xml:space="preserve">4,39 </w:t>
            </w:r>
          </w:p>
        </w:tc>
      </w:tr>
      <w:tr>
        <w:trPr>
          <w:trHeight w:val="750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Taxa</w:t>
            </w:r>
            <w:r>
              <w:rPr>
                <w:rFonts w:eastAsia="Calibri" w:cs="Arial" w:ascii="Arial" w:hAnsi="Arial"/>
                <w:b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Readmissão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b/>
                <w:spacing w:val="-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UTI</w:t>
            </w:r>
            <w:r>
              <w:rPr>
                <w:rFonts w:eastAsia="Calibri" w:cs="Arial" w:ascii="Arial" w:hAnsi="Arial"/>
                <w:b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(48</w:t>
            </w:r>
            <w:r>
              <w:rPr>
                <w:rFonts w:eastAsia="Calibri" w:cs="Arial" w:ascii="Arial" w:hAnsi="Arial"/>
                <w:b/>
                <w:spacing w:val="-2"/>
                <w:kern w:val="0"/>
                <w:sz w:val="22"/>
                <w:szCs w:val="22"/>
                <w:lang w:val="pt-BR" w:eastAsia="en-US" w:bidi="ar-SA"/>
              </w:rPr>
              <w:t xml:space="preserve"> horas)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≤ 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5%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0%</w:t>
            </w:r>
          </w:p>
        </w:tc>
      </w:tr>
      <w:tr>
        <w:trPr>
          <w:trHeight w:val="705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Retornos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até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48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horas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</w:t>
            </w:r>
          </w:p>
        </w:tc>
      </w:tr>
      <w:tr>
        <w:trPr>
          <w:trHeight w:val="701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Saídas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da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UTI,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por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alta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111</w:t>
            </w:r>
          </w:p>
        </w:tc>
      </w:tr>
      <w:tr>
        <w:trPr>
          <w:trHeight w:val="726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Taxa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Readmissão</w:t>
            </w:r>
            <w:r>
              <w:rPr>
                <w:rFonts w:eastAsia="Calibri" w:cs="Arial" w:ascii="Arial" w:hAnsi="Arial"/>
                <w:b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Hospitalar</w:t>
            </w:r>
            <w:r>
              <w:rPr>
                <w:rFonts w:eastAsia="Calibri" w:cs="Arial" w:ascii="Arial" w:hAnsi="Arial"/>
                <w:b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(29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2"/>
                <w:kern w:val="0"/>
                <w:sz w:val="22"/>
                <w:szCs w:val="22"/>
                <w:lang w:val="pt-BR" w:eastAsia="en-US" w:bidi="ar-SA"/>
              </w:rPr>
              <w:t>dias)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≤ 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8%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TableParagraph"/>
              <w:spacing w:before="2" w:after="0"/>
              <w:ind w:start="14" w:end="2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eastAsia="en-US" w:bidi="ar-SA"/>
              </w:rPr>
              <w:t>1%</w:t>
            </w:r>
          </w:p>
        </w:tc>
      </w:tr>
      <w:tr>
        <w:trPr>
          <w:trHeight w:val="41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pacientes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readmitidos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entre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0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29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dias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da última alta hospitalar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TableParagraph"/>
              <w:spacing w:lineRule="auto" w:line="240" w:before="137" w:after="0"/>
              <w:ind w:start="14" w:end="6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  <w:tr>
        <w:trPr>
          <w:trHeight w:val="689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atendimentos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TableParagraph"/>
              <w:spacing w:before="0" w:after="0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eastAsia="en-US" w:bidi="ar-SA"/>
              </w:rPr>
              <w:t>502</w:t>
            </w:r>
          </w:p>
        </w:tc>
      </w:tr>
      <w:tr>
        <w:trPr>
          <w:trHeight w:val="101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Percentual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Ocorrência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Glosas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no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SIH- </w:t>
            </w:r>
            <w:r>
              <w:rPr>
                <w:rFonts w:eastAsia="Calibri" w:cs="Arial" w:ascii="Arial" w:hAnsi="Arial"/>
                <w:b/>
                <w:spacing w:val="-2"/>
                <w:kern w:val="0"/>
                <w:sz w:val="22"/>
                <w:szCs w:val="22"/>
                <w:lang w:val="pt-BR" w:eastAsia="en-US" w:bidi="ar-SA"/>
              </w:rPr>
              <w:t xml:space="preserve">DATASUS 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≤ 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7%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2"/>
              <w:jc w:val="center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769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procedimentos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rejeitados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no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>SIH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2"/>
              <w:jc w:val="center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699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procedimentos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apresentados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do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SIH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2"/>
              <w:jc w:val="center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480</w:t>
            </w:r>
          </w:p>
        </w:tc>
      </w:tr>
      <w:tr>
        <w:trPr>
          <w:trHeight w:val="1040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Percentual</w:t>
            </w:r>
            <w:r>
              <w:rPr>
                <w:rFonts w:eastAsia="Calibri" w:cs="Arial" w:ascii="Arial" w:hAnsi="Arial"/>
                <w:b/>
                <w:spacing w:val="4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4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Suspensão</w:t>
            </w:r>
            <w:r>
              <w:rPr>
                <w:rFonts w:eastAsia="Calibri" w:cs="Arial" w:ascii="Arial" w:hAnsi="Arial"/>
                <w:b/>
                <w:spacing w:val="4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4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b/>
                <w:spacing w:val="4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Eletivas por Condições Operacionais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≤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5%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0,00%</w:t>
            </w:r>
          </w:p>
        </w:tc>
      </w:tr>
      <w:tr>
        <w:trPr>
          <w:trHeight w:val="856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eletivas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suspensas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0</w:t>
            </w:r>
          </w:p>
        </w:tc>
      </w:tr>
      <w:tr>
        <w:trPr>
          <w:trHeight w:val="693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eletivas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(mapa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cirúrgico)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195</w:t>
            </w:r>
          </w:p>
        </w:tc>
      </w:tr>
      <w:tr>
        <w:trPr>
          <w:trHeight w:val="41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lineRule="auto" w:line="240" w:before="0" w:after="0"/>
              <w:ind w:start="105"/>
              <w:jc w:val="star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Percentual de cirurgias eletivas realizadas com TMAT</w:t>
            </w:r>
            <w:r>
              <w:rPr>
                <w:rFonts w:cs="Arial" w:ascii="Arial" w:hAnsi="Arial"/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(Tempo</w:t>
            </w:r>
            <w:r>
              <w:rPr>
                <w:rFonts w:cs="Arial" w:ascii="Arial" w:hAnsi="Arial"/>
                <w:b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máximo</w:t>
            </w:r>
            <w:r>
              <w:rPr>
                <w:rFonts w:cs="Arial" w:ascii="Arial" w:hAnsi="Arial"/>
                <w:b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aceitável</w:t>
            </w:r>
            <w:r>
              <w:rPr>
                <w:rFonts w:cs="Arial" w:ascii="Arial" w:hAnsi="Arial"/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para</w:t>
            </w:r>
            <w:r>
              <w:rPr>
                <w:rFonts w:cs="Arial" w:ascii="Arial" w:hAnsi="Arial"/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tratamento)</w:t>
            </w:r>
          </w:p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expirado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(↓)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para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o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primeiro</w:t>
            </w:r>
            <w:r>
              <w:rPr>
                <w:rFonts w:eastAsia="Calibri" w:cs="Arial" w:ascii="Arial" w:hAnsi="Arial"/>
                <w:b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ano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≤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50%</w:t>
            </w:r>
          </w:p>
        </w:tc>
        <w:tc>
          <w:tcPr>
            <w:tcW w:w="297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10,64%</w:t>
            </w:r>
          </w:p>
        </w:tc>
      </w:tr>
      <w:tr>
        <w:trPr>
          <w:trHeight w:val="715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Nº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realizadas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com</w:t>
            </w:r>
            <w:r>
              <w:rPr>
                <w:rFonts w:eastAsia="Calibri" w:cs="Arial" w:ascii="Arial" w:hAnsi="Arial"/>
                <w:spacing w:val="-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TMAT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expirado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</w:tr>
      <w:tr>
        <w:trPr>
          <w:trHeight w:val="859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Nº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eletivas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lista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espera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 encaminhado para unidade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47</w:t>
            </w:r>
          </w:p>
        </w:tc>
      </w:tr>
      <w:tr>
        <w:trPr>
          <w:trHeight w:val="809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Percentual de cirurgias eletivas realizadas com TMAT</w:t>
            </w:r>
            <w:r>
              <w:rPr>
                <w:rFonts w:eastAsia="Calibri" w:cs="Arial" w:ascii="Arial" w:hAnsi="Arial"/>
                <w:b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(Tempo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máximo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aceitável</w:t>
            </w:r>
            <w:r>
              <w:rPr>
                <w:rFonts w:eastAsia="Calibri" w:cs="Arial" w:ascii="Arial" w:hAnsi="Arial"/>
                <w:b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para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tratamento) expirado (↓) para o segundo ano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≤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25%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-</w:t>
            </w:r>
          </w:p>
        </w:tc>
      </w:tr>
      <w:tr>
        <w:trPr>
          <w:trHeight w:val="1156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Nº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realizadas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com</w:t>
            </w:r>
            <w:r>
              <w:rPr>
                <w:rFonts w:eastAsia="Calibri" w:cs="Arial" w:ascii="Arial" w:hAnsi="Arial"/>
                <w:spacing w:val="-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TMAT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expirado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-</w:t>
            </w:r>
          </w:p>
        </w:tc>
      </w:tr>
      <w:tr>
        <w:trPr>
          <w:trHeight w:val="913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Nº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cirurgias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eletivas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lista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espera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 encaminhado para unidade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-</w:t>
            </w:r>
          </w:p>
        </w:tc>
      </w:tr>
      <w:tr>
        <w:trPr>
          <w:trHeight w:val="1064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Percentual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exames</w:t>
            </w:r>
            <w:r>
              <w:rPr>
                <w:rFonts w:eastAsia="Calibri" w:cs="Arial" w:ascii="Arial" w:hAnsi="Arial"/>
                <w:b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imagem</w:t>
            </w:r>
            <w:r>
              <w:rPr>
                <w:rFonts w:eastAsia="Calibri" w:cs="Arial" w:ascii="Arial" w:hAnsi="Arial"/>
                <w:b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com</w:t>
            </w:r>
            <w:r>
              <w:rPr>
                <w:rFonts w:eastAsia="Calibri" w:cs="Arial" w:ascii="Arial" w:hAnsi="Arial"/>
                <w:b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resultado disponibilizado em até 10 dias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≥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70%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97,97%</w:t>
            </w:r>
          </w:p>
        </w:tc>
      </w:tr>
      <w:tr>
        <w:trPr>
          <w:trHeight w:val="803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exames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imagem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entregues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até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 xml:space="preserve">10 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>dias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3.467</w:t>
            </w:r>
          </w:p>
        </w:tc>
      </w:tr>
      <w:tr>
        <w:trPr>
          <w:trHeight w:val="41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exames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imagem</w:t>
            </w:r>
            <w:r>
              <w:rPr>
                <w:rFonts w:eastAsia="Calibri" w:cs="Arial" w:ascii="Arial" w:hAnsi="Arial"/>
                <w:spacing w:val="-3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realizados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no período multiplicado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3.539</w:t>
            </w:r>
          </w:p>
        </w:tc>
      </w:tr>
      <w:tr>
        <w:trPr>
          <w:trHeight w:val="130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Percentual de Casos de Doenças/ Agravos/ Eventos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Notificação</w:t>
            </w:r>
            <w:r>
              <w:rPr>
                <w:rFonts w:eastAsia="Calibri" w:cs="Arial" w:ascii="Arial" w:hAnsi="Arial"/>
                <w:b/>
                <w:spacing w:val="-11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Compulsório</w:t>
            </w:r>
            <w:r>
              <w:rPr>
                <w:rFonts w:eastAsia="Calibri" w:cs="Arial" w:ascii="Arial" w:hAnsi="Arial"/>
                <w:b/>
                <w:spacing w:val="-10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Imediata (DAEI) Digitadas Oportunamente- até 7 dias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≥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80%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100,00%</w:t>
            </w:r>
          </w:p>
        </w:tc>
      </w:tr>
      <w:tr>
        <w:trPr>
          <w:trHeight w:val="98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casos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DAEI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digitadas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spacing w:val="-4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tempo oportuno - 7 dias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38</w:t>
            </w:r>
          </w:p>
        </w:tc>
      </w:tr>
      <w:tr>
        <w:trPr>
          <w:trHeight w:val="868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before="0" w:after="0"/>
              <w:ind w:start="105"/>
              <w:jc w:val="star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Nº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casos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DAEI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digitadas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(no</w:t>
            </w:r>
            <w:r>
              <w:rPr>
                <w:rFonts w:cs="Arial" w:ascii="Arial" w:hAnsi="Arial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período/mês)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38</w:t>
            </w:r>
          </w:p>
        </w:tc>
      </w:tr>
      <w:tr>
        <w:trPr>
          <w:trHeight w:val="417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lineRule="auto" w:line="240" w:before="0" w:after="0"/>
              <w:ind w:start="105" w:end="135"/>
              <w:jc w:val="star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Percentual de Casos de Doenças/Agravos/Eventos de Notificação Compulsório</w:t>
            </w:r>
            <w:r>
              <w:rPr>
                <w:rFonts w:cs="Arial" w:ascii="Arial" w:hAnsi="Arial"/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Imediata</w:t>
            </w:r>
            <w:r>
              <w:rPr>
                <w:rFonts w:cs="Arial" w:ascii="Arial" w:hAnsi="Arial"/>
                <w:b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(DAEI)</w:t>
            </w:r>
            <w:r>
              <w:rPr>
                <w:rFonts w:cs="Arial" w:ascii="Arial" w:hAnsi="Arial"/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Investigadas</w:t>
            </w:r>
          </w:p>
          <w:p>
            <w:pPr>
              <w:pStyle w:val="TableParagraph"/>
              <w:spacing w:before="0" w:after="0"/>
              <w:ind w:start="105"/>
              <w:jc w:val="star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Oportunamente-</w:t>
            </w:r>
            <w:r>
              <w:rPr>
                <w:rFonts w:cs="Arial"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até</w:t>
            </w:r>
            <w:r>
              <w:rPr>
                <w:rFonts w:cs="Arial"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48</w:t>
            </w:r>
            <w:r>
              <w:rPr>
                <w:rFonts w:cs="Arial" w:ascii="Arial" w:hAnsi="Arial"/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horas</w:t>
            </w:r>
            <w:r>
              <w:rPr>
                <w:rFonts w:cs="Arial" w:ascii="Arial" w:hAnsi="Arial"/>
                <w:b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da</w:t>
            </w:r>
            <w:r>
              <w:rPr>
                <w:rFonts w:cs="Arial" w:ascii="Arial" w:hAnsi="Arial"/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data</w:t>
            </w:r>
            <w:r>
              <w:rPr>
                <w:rFonts w:cs="Arial" w:ascii="Arial" w:hAnsi="Arial"/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 xml:space="preserve">da </w:t>
            </w:r>
            <w:r>
              <w:rPr>
                <w:rFonts w:cs="Arial" w:ascii="Arial" w:hAnsi="Arial"/>
                <w:b/>
                <w:spacing w:val="-2"/>
                <w:kern w:val="0"/>
                <w:sz w:val="22"/>
                <w:szCs w:val="22"/>
                <w:lang w:eastAsia="en-US" w:bidi="ar-SA"/>
              </w:rPr>
              <w:t>notificação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≥</w:t>
            </w:r>
            <w:r>
              <w:rPr>
                <w:rFonts w:eastAsia="Calibri" w:cs="Arial" w:ascii="Arial" w:hAnsi="Arial"/>
                <w:b/>
                <w:spacing w:val="-4"/>
                <w:kern w:val="0"/>
                <w:sz w:val="22"/>
                <w:szCs w:val="22"/>
                <w:lang w:val="pt-BR" w:eastAsia="en-US" w:bidi="ar-SA"/>
              </w:rPr>
              <w:t>80%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100,00%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total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casos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DAEI investigadas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em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tempo oportuno- até 48 horas da data da notificação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N°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casos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DAEI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spacing w:val="-2"/>
                <w:kern w:val="0"/>
                <w:sz w:val="22"/>
                <w:szCs w:val="22"/>
                <w:lang w:val="pt-BR" w:eastAsia="en-US" w:bidi="ar-SA"/>
              </w:rPr>
              <w:t>notificados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2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Percentual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Perda</w:t>
            </w:r>
            <w:r>
              <w:rPr>
                <w:rFonts w:eastAsia="Calibri" w:cs="Arial" w:ascii="Arial" w:hAnsi="Arial"/>
                <w:b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de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Medicamentos</w:t>
            </w:r>
            <w:r>
              <w:rPr>
                <w:rFonts w:eastAsia="Calibri" w:cs="Arial" w:ascii="Arial" w:hAnsi="Arial"/>
                <w:b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por</w:t>
            </w:r>
            <w:r>
              <w:rPr>
                <w:rFonts w:eastAsia="Calibri" w:cs="Arial" w:ascii="Arial" w:hAnsi="Arial"/>
                <w:b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Prazo de Validade Expirado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before="2" w:after="0"/>
              <w:ind w:start="12" w:end="1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 xml:space="preserve">≤ </w:t>
            </w:r>
            <w:r>
              <w:rPr>
                <w:rFonts w:cs="Arial" w:ascii="Arial" w:hAnsi="Arial"/>
                <w:b/>
                <w:spacing w:val="-5"/>
                <w:kern w:val="0"/>
                <w:sz w:val="22"/>
                <w:szCs w:val="22"/>
                <w:lang w:val="pt-BR" w:eastAsia="en-US" w:bidi="ar-SA"/>
              </w:rPr>
              <w:t>1%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TableParagraph"/>
              <w:spacing w:lineRule="auto" w:line="240" w:before="139" w:after="0"/>
              <w:ind w:start="14" w:end="3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eastAsia="en-US" w:bidi="ar-SA"/>
              </w:rPr>
              <w:t>0,18%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Valor Financeiro da Perda do Segmento Padronizado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por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Validade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Expirada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no</w:t>
            </w:r>
            <w:r>
              <w:rPr>
                <w:rFonts w:eastAsia="Calibri" w:cs="Arial" w:ascii="Arial" w:hAnsi="Arial"/>
                <w:spacing w:val="-7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Hospital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TableParagraph"/>
              <w:spacing w:before="137" w:after="0"/>
              <w:ind w:start="0" w:end="1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865,97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Valor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Financeiro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Inventariado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na</w:t>
            </w:r>
            <w:r>
              <w:rPr>
                <w:rFonts w:eastAsia="Calibri" w:cs="Arial" w:ascii="Arial" w:hAnsi="Arial"/>
                <w:spacing w:val="-6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CAF</w:t>
            </w:r>
            <w:r>
              <w:rPr>
                <w:rFonts w:eastAsia="Calibri" w:cs="Arial" w:ascii="Arial" w:hAnsi="Arial"/>
                <w:spacing w:val="-9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no</w:t>
            </w:r>
            <w:r>
              <w:rPr>
                <w:rFonts w:eastAsia="Calibri" w:cs="Arial" w:ascii="Arial" w:hAnsi="Arial"/>
                <w:spacing w:val="-8"/>
                <w:kern w:val="0"/>
                <w:sz w:val="22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período x 100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470.345,33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Taxa de acurácia do estoque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≥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95%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98,80%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end="35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t-BR" w:eastAsia="en-US" w:bidi="ar-SA"/>
              </w:rPr>
              <w:t>Quantitativo de itens de medicamentos em conformidade no estoque (ao comparar físico e sistema)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142.311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lineRule="atLeast" w:line="270" w:before="0" w:after="0"/>
              <w:ind w:start="105" w:end="135"/>
              <w:jc w:val="start"/>
              <w:rPr>
                <w:rFonts w:ascii="Arial" w:hAnsi="Arial" w:eastAsia="Calibri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en-US" w:bidi="ar-SA"/>
              </w:rPr>
              <w:t>Quantidade total de itens em estoque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144.041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msonormal"/>
              <w:widowControl/>
              <w:spacing w:lineRule="atLeast" w:line="270" w:before="0" w:after="0"/>
              <w:ind w:start="105" w:end="135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bidi="ar-SA"/>
              </w:rPr>
              <w:t>Taxa de aceitabilidade das intervenções farmacêuticas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before="0" w:after="0"/>
              <w:jc w:val="start"/>
              <w:rPr>
                <w:rFonts w:ascii="Arial" w:hAnsi="Arial" w:cs="Arial"/>
                <w:b/>
                <w:lang w:val="pt-BR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</w:r>
          </w:p>
          <w:p>
            <w:pPr>
              <w:pStyle w:val="TableParagraph"/>
              <w:spacing w:before="0" w:after="0"/>
              <w:ind w:start="0"/>
              <w:rPr>
                <w:rFonts w:ascii="Arial" w:hAnsi="Arial" w:cs="Arial"/>
                <w:b/>
                <w:lang w:val="pt-BR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 xml:space="preserve">≥ </w:t>
            </w: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en-US" w:bidi="ar-SA"/>
              </w:rPr>
              <w:t>85%</w:t>
            </w:r>
          </w:p>
          <w:p>
            <w:pPr>
              <w:pStyle w:val="Normal"/>
              <w:widowControl/>
              <w:spacing w:lineRule="auto" w:line="360" w:before="40" w:after="0"/>
              <w:ind w:start="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themeColor="text1" w:val="000000"/>
              </w:rPr>
            </w:pPr>
            <w:r>
              <w:rPr>
                <w:rFonts w:eastAsia="Arial" w:cs="Arial" w:ascii="Arial" w:hAnsi="Arial"/>
                <w:b/>
                <w:bCs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93,65%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tabs>
                <w:tab w:val="clear" w:pos="708"/>
                <w:tab w:val="left" w:pos="3828" w:leader="none"/>
              </w:tabs>
              <w:spacing w:lineRule="atLeast" w:line="270" w:before="0" w:after="0"/>
              <w:ind w:start="105" w:end="135"/>
              <w:jc w:val="star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en-US" w:bidi="ar-SA"/>
              </w:rPr>
              <w:t>Número de intervenções aceitas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msonormal"/>
              <w:widowControl/>
              <w:spacing w:before="0" w:after="0"/>
              <w:ind w:firstLine="708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59</w:t>
            </w:r>
          </w:p>
        </w:tc>
      </w:tr>
      <w:tr>
        <w:trPr>
          <w:trHeight w:val="822" w:hRule="atLeast"/>
        </w:trPr>
        <w:tc>
          <w:tcPr>
            <w:tcW w:w="5806" w:type="dxa"/>
            <w:tcBorders/>
            <w:shd w:color="auto" w:fill="FFFFFF" w:themeFill="background1" w:val="clear"/>
            <w:vAlign w:val="center"/>
          </w:tcPr>
          <w:p>
            <w:pPr>
              <w:pStyle w:val="TableParagraph"/>
              <w:spacing w:lineRule="atLeast" w:line="270" w:before="0" w:after="0"/>
              <w:ind w:start="105" w:end="135"/>
              <w:jc w:val="star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en-US" w:bidi="ar-SA"/>
              </w:rPr>
              <w:t>Número absoluto de intervenções registradas que requer aceitação</w:t>
            </w:r>
          </w:p>
        </w:tc>
        <w:tc>
          <w:tcPr>
            <w:tcW w:w="1844" w:type="dxa"/>
            <w:tcBorders/>
            <w:shd w:color="auto" w:fill="FFFFFF" w:themeFill="background1" w:val="clear"/>
            <w:vAlign w:val="center"/>
          </w:tcPr>
          <w:p>
            <w:pPr>
              <w:pStyle w:val="msonormal"/>
              <w:widowControl/>
              <w:spacing w:before="0" w:after="0"/>
              <w:ind w:firstLine="708"/>
              <w:jc w:val="star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themeColor="text1" w:val="000000"/>
              </w:rPr>
            </w:pPr>
            <w:r>
              <w:rPr>
                <w:rFonts w:eastAsia="Arial" w:cs="Arial" w:ascii="Arial" w:hAnsi="Arial"/>
                <w:color w:themeColor="text1" w:val="000000"/>
                <w:kern w:val="0"/>
                <w:sz w:val="22"/>
                <w:szCs w:val="22"/>
                <w:lang w:val="pt-BR" w:eastAsia="en-US" w:bidi="ar-SA"/>
              </w:rPr>
              <w:t>63</w:t>
            </w:r>
          </w:p>
        </w:tc>
      </w:tr>
    </w:tbl>
    <w:p>
      <w:pPr>
        <w:pStyle w:val="western"/>
        <w:spacing w:lineRule="auto" w:line="360" w:beforeAutospacing="0" w:before="240" w:after="240"/>
        <w:ind w:firstLine="697" w:start="-993" w:end="-56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numPr>
          <w:ilvl w:val="0"/>
          <w:numId w:val="3"/>
        </w:numPr>
        <w:ind w:hanging="360" w:start="-567"/>
        <w:rPr>
          <w:rFonts w:ascii="Arial" w:hAnsi="Arial" w:cs="Arial"/>
          <w:b/>
          <w:bCs/>
          <w:color w:val="auto"/>
          <w:sz w:val="22"/>
          <w:szCs w:val="22"/>
        </w:rPr>
      </w:pPr>
      <w:bookmarkStart w:id="28" w:name="_Toc236814317"/>
      <w:bookmarkStart w:id="29" w:name="_Toc158119973"/>
      <w:r>
        <w:rPr>
          <w:rFonts w:cs="Arial" w:ascii="Arial" w:hAnsi="Arial"/>
          <w:b/>
          <w:bCs/>
          <w:color w:val="auto"/>
          <w:sz w:val="22"/>
          <w:szCs w:val="22"/>
        </w:rPr>
        <w:t>OUVIDORIA</w:t>
      </w:r>
      <w:bookmarkEnd w:id="28"/>
      <w:bookmarkEnd w:id="29"/>
      <w:r>
        <w:rPr>
          <w:rFonts w:cs="Arial" w:ascii="Arial" w:hAnsi="Arial"/>
          <w:b/>
          <w:bCs/>
          <w:color w:val="auto"/>
          <w:sz w:val="22"/>
          <w:szCs w:val="22"/>
        </w:rPr>
        <w:t xml:space="preserve"> </w:t>
      </w:r>
    </w:p>
    <w:p>
      <w:pPr>
        <w:pStyle w:val="BodyText"/>
        <w:rPr/>
      </w:pPr>
      <w:r>
        <w:rPr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A Ouvidoria do Herso promove mensalmente a entrega de bombons aos colaboradores elogiados por acompanhantes ou pacientes da unidade, através da leitura e preenchimento do formulário “Mensagem Amiga” disponibilizado em todas as Unidades de Internação da unidade ou por outros meios. No mês de julho de 2026 o Herso recebeu 29 elogios com uma taxa de aprovação em 98,68%</w:t>
      </w:r>
    </w:p>
    <w:p>
      <w:pPr>
        <w:pStyle w:val="Normal"/>
        <w:keepNext w:val="true"/>
        <w:spacing w:lineRule="auto" w:line="360"/>
        <w:ind w:start="-993" w:end="-568"/>
        <w:jc w:val="center"/>
        <w:rPr>
          <w:rFonts w:ascii="Arial" w:hAnsi="Arial" w:cs="Arial"/>
        </w:rPr>
      </w:pPr>
      <w:r>
        <w:rPr/>
        <w:drawing>
          <wp:inline distT="0" distB="0" distL="0" distR="0">
            <wp:extent cx="5448300" cy="3486150"/>
            <wp:effectExtent l="0" t="0" r="0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Caption"/>
        <w:ind w:start="-993" w:end="-567"/>
        <w:jc w:val="center"/>
        <w:rPr>
          <w:rFonts w:ascii="Arial" w:hAnsi="Arial" w:cs="Arial"/>
          <w:i w:val="false"/>
          <w:iCs w:val="false"/>
          <w:color w:val="auto"/>
          <w:sz w:val="22"/>
          <w:szCs w:val="22"/>
        </w:rPr>
      </w:pPr>
      <w:bookmarkStart w:id="30" w:name="_Toc221607991"/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Gráfico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fldChar w:fldCharType="begin"/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instrText xml:space="preserve"> SEQ Gráfico \* ARABIC </w:instrTex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fldChar w:fldCharType="separate"/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1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fldChar w:fldCharType="end"/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- Elogios recebidos por mês | Fonte: Ouvidoria HERSO</w:t>
      </w:r>
      <w:bookmarkEnd w:id="30"/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360"/>
        <w:ind w:start="-993" w:end="-568"/>
        <w:jc w:val="center"/>
        <w:rPr>
          <w:rFonts w:ascii="Arial" w:hAnsi="Arial" w:cs="Arial"/>
        </w:rPr>
      </w:pPr>
      <w:r>
        <w:rPr/>
        <w:drawing>
          <wp:inline distT="0" distB="0" distL="0" distR="0">
            <wp:extent cx="5760720" cy="2536825"/>
            <wp:effectExtent l="0" t="0" r="0" b="0"/>
            <wp:docPr id="5" name="Objeto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Caption"/>
        <w:ind w:start="-993" w:end="-567"/>
        <w:jc w:val="center"/>
        <w:rPr>
          <w:rFonts w:ascii="Arial" w:hAnsi="Arial" w:cs="Arial"/>
          <w:i w:val="false"/>
          <w:iCs w:val="false"/>
          <w:color w:val="auto"/>
          <w:sz w:val="22"/>
          <w:szCs w:val="22"/>
        </w:rPr>
      </w:pPr>
      <w:bookmarkStart w:id="31" w:name="_Toc221607992"/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Gráfico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fldChar w:fldCharType="begin"/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instrText xml:space="preserve"> SEQ Gráfico \* ARABIC </w:instrTex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fldChar w:fldCharType="separate"/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2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fldChar w:fldCharType="end"/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- Pesquisa de Satisfação por mês | Fonte: Ouvidoria HERSO</w:t>
      </w:r>
      <w:bookmarkEnd w:id="31"/>
    </w:p>
    <w:p>
      <w:pPr>
        <w:pStyle w:val="Normal"/>
        <w:spacing w:lineRule="auto" w:line="360" w:before="240" w:after="1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1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240" w:after="1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3"/>
        </w:numPr>
        <w:ind w:hanging="360" w:start="-567"/>
        <w:rPr>
          <w:rFonts w:ascii="Arial" w:hAnsi="Arial" w:cs="Arial"/>
          <w:b/>
          <w:bCs/>
          <w:color w:val="auto"/>
          <w:sz w:val="22"/>
          <w:szCs w:val="22"/>
          <w:shd w:fill="FFFFFF" w:val="clear"/>
        </w:rPr>
      </w:pPr>
      <w:bookmarkStart w:id="32" w:name="_Toc236814318"/>
      <w:r>
        <w:rPr>
          <w:rFonts w:cs="Arial" w:ascii="Arial" w:hAnsi="Arial"/>
          <w:b/>
          <w:bCs/>
          <w:color w:val="auto"/>
          <w:sz w:val="22"/>
          <w:szCs w:val="22"/>
          <w:shd w:fill="FFFFFF" w:val="clear"/>
        </w:rPr>
        <w:t>EVENTOS, AÇÕES E IMPACTOS BENEFICIO SOCIAL</w:t>
      </w:r>
      <w:bookmarkEnd w:id="32"/>
    </w:p>
    <w:p>
      <w:pPr>
        <w:pStyle w:val="BodyTex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 xml:space="preserve">HUMANIZAÇÃO | </w:t>
      </w:r>
      <w:r>
        <w:rPr>
          <w:rFonts w:cs="Arial" w:ascii="Arial" w:hAnsi="Arial"/>
          <w:b/>
          <w:bCs/>
          <w:lang w:val="pt-PT"/>
        </w:rPr>
        <w:t>PASTORAL DA SAÚDE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  <w:lang w:val="pt-PT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jc w:val="center"/>
        <w:rPr>
          <w:rFonts w:ascii="Arial" w:hAnsi="Arial" w:cs="Arial"/>
          <w:b/>
          <w:bCs/>
          <w:lang w:val="pt-PT"/>
        </w:rPr>
      </w:pPr>
      <w:r>
        <w:rPr/>
        <w:drawing>
          <wp:inline distT="0" distB="0" distL="0" distR="0">
            <wp:extent cx="3742690" cy="5619750"/>
            <wp:effectExtent l="0" t="0" r="0" b="0"/>
            <wp:docPr id="6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16996" r="0" b="1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561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ListParagraph"/>
        <w:keepNext w:val="true"/>
        <w:spacing w:lineRule="auto" w:line="360" w:before="240" w:after="160"/>
        <w:ind w:start="-993" w:end="-56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Caption"/>
        <w:jc w:val="center"/>
        <w:rPr>
          <w:rFonts w:ascii="Arial" w:hAnsi="Arial" w:cs="Arial"/>
          <w:b/>
          <w:bCs/>
          <w:i w:val="false"/>
          <w:iCs w:val="false"/>
          <w:color w:val="auto"/>
        </w:rPr>
      </w:pPr>
      <w:r>
        <w:rPr>
          <w:rFonts w:cs="Arial" w:ascii="Arial" w:hAnsi="Arial"/>
          <w:i w:val="false"/>
          <w:iCs w:val="false"/>
          <w:color w:val="auto"/>
        </w:rPr>
        <w:t>Figura 1 – Visita Pastoral da Saúde | Fotografia: Comissão de Humanização HERSO/IPGSE</w:t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 xml:space="preserve">HUMANIZAÇÃO | SANTA </w:t>
      </w:r>
      <w:r>
        <w:rPr>
          <w:rFonts w:cs="Arial" w:ascii="Arial" w:hAnsi="Arial"/>
          <w:b/>
          <w:bCs/>
          <w:lang w:val="pt-PT"/>
        </w:rPr>
        <w:t>MISSA</w:t>
      </w:r>
    </w:p>
    <w:p>
      <w:pPr>
        <w:pStyle w:val="ListParagraph"/>
        <w:keepNext w:val="true"/>
        <w:spacing w:lineRule="auto" w:line="360" w:before="240" w:after="160"/>
        <w:ind w:start="-993" w:end="-567"/>
        <w:contextualSpacing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spacing w:lineRule="auto" w:line="360" w:before="240" w:after="160"/>
        <w:ind w:start="-993" w:end="-567"/>
        <w:contextualSpacing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spacing w:lineRule="auto" w:line="360" w:before="240" w:after="160"/>
        <w:ind w:start="-993" w:end="-567"/>
        <w:contextualSpacing/>
        <w:jc w:val="center"/>
        <w:rPr>
          <w:rFonts w:ascii="Arial" w:hAnsi="Arial" w:cs="Arial"/>
        </w:rPr>
      </w:pPr>
      <w:r>
        <w:rPr/>
        <w:drawing>
          <wp:inline distT="0" distB="0" distL="0" distR="0">
            <wp:extent cx="3757930" cy="4467225"/>
            <wp:effectExtent l="0" t="0" r="0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0" t="9605" r="0" b="1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30" cy="44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  <w:color w:val="auto"/>
        </w:rPr>
      </w:pPr>
      <w:bookmarkStart w:id="33" w:name="_Toc224813402"/>
      <w:r>
        <w:rPr>
          <w:rFonts w:cs="Arial" w:ascii="Arial" w:hAnsi="Arial"/>
          <w:i w:val="false"/>
          <w:iCs w:val="false"/>
          <w:color w:val="auto"/>
        </w:rPr>
        <w:t>Figura 2 – Santa Missa | Fotografia: Comissão de Humanização -HERSO/IPGSE</w:t>
      </w:r>
      <w:bookmarkEnd w:id="33"/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 xml:space="preserve">HUMANIZAÇÃO | LOUVOR CONGREGAÇÃO CRISTÃ </w:t>
      </w:r>
    </w:p>
    <w:p>
      <w:pPr>
        <w:pStyle w:val="Normal"/>
        <w:keepNext w:val="true"/>
        <w:spacing w:lineRule="auto" w:line="360" w:before="240" w:after="160"/>
        <w:ind w:start="360"/>
        <w:jc w:val="center"/>
        <w:rPr>
          <w:rFonts w:ascii="Arial" w:hAnsi="Arial" w:cs="Arial"/>
        </w:rPr>
      </w:pPr>
      <w:r>
        <w:rPr/>
        <w:drawing>
          <wp:inline distT="0" distB="0" distL="0" distR="0">
            <wp:extent cx="5489575" cy="2946400"/>
            <wp:effectExtent l="0" t="0" r="0" b="0"/>
            <wp:docPr id="8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29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  <w:color w:val="auto"/>
        </w:rPr>
      </w:pPr>
      <w:bookmarkStart w:id="34" w:name="_Toc224813403"/>
      <w:r>
        <w:rPr>
          <w:rFonts w:cs="Arial" w:ascii="Arial" w:hAnsi="Arial"/>
          <w:i w:val="false"/>
          <w:iCs w:val="false"/>
          <w:color w:val="auto"/>
        </w:rPr>
        <w:t>Figura 3 – Louvor Congregação Cristã | Fotografia: Comissão de Humanização -HERSO/IPGSE</w:t>
      </w:r>
      <w:bookmarkEnd w:id="34"/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>HUMANIZAÇÃO | REUNIÃO COM O GRUPO DE APOIO AOS ACOMPANHANTES.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  <w:lang w:val="pt-PT"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jc w:val="center"/>
        <w:rPr>
          <w:rFonts w:ascii="Arial" w:hAnsi="Arial" w:cs="Arial"/>
          <w:b/>
          <w:bCs/>
          <w:lang w:val="pt-PT"/>
        </w:rPr>
      </w:pPr>
      <w:r>
        <w:rPr/>
        <w:drawing>
          <wp:inline distT="0" distB="0" distL="0" distR="0">
            <wp:extent cx="4857750" cy="5995670"/>
            <wp:effectExtent l="0" t="0" r="0" b="0"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0" t="18088" r="11516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99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</w:rPr>
      </w:pPr>
      <w:r>
        <w:rPr>
          <w:rFonts w:cs="Arial" w:ascii="Arial" w:hAnsi="Arial"/>
          <w:i w:val="false"/>
          <w:iCs w:val="false"/>
          <w:color w:val="auto"/>
        </w:rPr>
        <w:t>Figura 4 – Grupo de Apoio aos Acompanhantes | Fotografia: Humanização - HERSO/IPGSE</w:t>
      </w:r>
      <w:r>
        <w:rPr>
          <w:rFonts w:cs="Arial" w:ascii="Arial" w:hAnsi="Arial"/>
          <w:i w:val="false"/>
          <w:iCs w:val="false"/>
        </w:rPr>
        <w:t xml:space="preserve"> 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  <w:lang w:val="pt-PT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>HUMANIZAÇÃO | ALTA HOSPITALAR APÓS MAIS DE 150 DIAS DE INTERNAÇÃO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  <w:lang w:val="pt-PT"/>
        </w:rPr>
      </w:r>
    </w:p>
    <w:p>
      <w:pPr>
        <w:pStyle w:val="Normal"/>
        <w:rPr>
          <w:rFonts w:ascii="Arial" w:hAnsi="Arial" w:cs="Arial"/>
        </w:rPr>
      </w:pPr>
      <w:r>
        <w:rPr/>
        <w:drawing>
          <wp:inline distT="0" distB="0" distL="0" distR="0">
            <wp:extent cx="5153025" cy="4116705"/>
            <wp:effectExtent l="0" t="0" r="0" b="0"/>
            <wp:docPr id="1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11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</w:rPr>
      </w:pPr>
      <w:bookmarkStart w:id="35" w:name="_Toc224813404"/>
      <w:bookmarkStart w:id="36" w:name="_Toc224113849"/>
      <w:r>
        <w:rPr>
          <w:rFonts w:cs="Arial" w:ascii="Arial" w:hAnsi="Arial"/>
          <w:i w:val="false"/>
          <w:iCs w:val="false"/>
          <w:color w:val="auto"/>
        </w:rPr>
        <w:t>Figura 5 – Alta Hospitalar após longa permanência | Fotografia: Humanização - HERSO/IPGSE</w:t>
      </w:r>
      <w:bookmarkEnd w:id="35"/>
      <w:bookmarkEnd w:id="36"/>
      <w:r>
        <w:rPr>
          <w:rFonts w:cs="Arial" w:ascii="Arial" w:hAnsi="Arial"/>
          <w:i w:val="false"/>
          <w:iCs w:val="false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>HUMANIZAÇÃO | DIA DO RECEPCIONISTA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jc w:val="center"/>
        <w:rPr>
          <w:rFonts w:ascii="Arial" w:hAnsi="Arial" w:cs="Arial"/>
          <w:b/>
          <w:bCs/>
        </w:rPr>
      </w:pPr>
      <w:r>
        <w:rPr/>
        <w:drawing>
          <wp:inline distT="0" distB="0" distL="0" distR="0">
            <wp:extent cx="4057650" cy="5410200"/>
            <wp:effectExtent l="0" t="0" r="0" b="0"/>
            <wp:docPr id="11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41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</w:rPr>
      </w:pPr>
      <w:r>
        <w:rPr>
          <w:rFonts w:cs="Arial" w:ascii="Arial" w:hAnsi="Arial"/>
          <w:i w:val="false"/>
          <w:iCs w:val="false"/>
          <w:color w:val="auto"/>
        </w:rPr>
        <w:t>Figura 6 – Dia do Recepcionista | Fotografia: Humanização - HERSO/IPGSE</w:t>
      </w:r>
      <w:r>
        <w:rPr>
          <w:rFonts w:cs="Arial" w:ascii="Arial" w:hAnsi="Arial"/>
          <w:i w:val="false"/>
          <w:iCs w:val="false"/>
        </w:rPr>
        <w:t xml:space="preserve"> 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>HUMANIZAÇÃO | DIA DO ADMINISTRADOR HOSPITALAR</w:t>
      </w:r>
    </w:p>
    <w:p>
      <w:pPr>
        <w:pStyle w:val="ListParagraph"/>
        <w:keepNext w:val="true"/>
        <w:spacing w:before="240" w:after="160"/>
        <w:ind w:start="-993" w:end="-567"/>
        <w:contextualSpacing/>
        <w:jc w:val="center"/>
        <w:rPr>
          <w:rFonts w:ascii="Arial" w:hAnsi="Arial" w:cs="Arial"/>
          <w:b/>
          <w:bCs/>
          <w:lang w:val="pt-PT"/>
        </w:rPr>
      </w:pPr>
      <w:r>
        <w:rPr/>
        <w:drawing>
          <wp:inline distT="0" distB="0" distL="0" distR="0">
            <wp:extent cx="4629150" cy="6172200"/>
            <wp:effectExtent l="0" t="0" r="0" b="0"/>
            <wp:docPr id="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</w:rPr>
      </w:pPr>
      <w:r>
        <w:rPr>
          <w:rFonts w:cs="Arial" w:ascii="Arial" w:hAnsi="Arial"/>
          <w:i w:val="false"/>
          <w:iCs w:val="false"/>
          <w:color w:val="auto"/>
        </w:rPr>
        <w:t>Figura 7 – Dia do Administrador Hospitalar | Fotografia: Humanização - HERSO/IPGSE</w:t>
      </w:r>
      <w:r>
        <w:rPr>
          <w:rFonts w:cs="Arial" w:ascii="Arial" w:hAnsi="Arial"/>
          <w:i w:val="false"/>
          <w:iCs w:val="false"/>
        </w:rPr>
        <w:t xml:space="preserve"> 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>SESMT | SIPAT</w:t>
      </w:r>
    </w:p>
    <w:p>
      <w:pPr>
        <w:pStyle w:val="ListParagraph"/>
        <w:keepNext w:val="true"/>
        <w:spacing w:before="240" w:after="160"/>
        <w:ind w:start="-993" w:end="-567"/>
        <w:contextualSpacing/>
        <w:jc w:val="center"/>
        <w:rPr>
          <w:rFonts w:ascii="Arial" w:hAnsi="Arial" w:cs="Arial"/>
          <w:b/>
          <w:bCs/>
        </w:rPr>
      </w:pPr>
      <w:r>
        <w:rPr/>
        <w:drawing>
          <wp:inline distT="0" distB="0" distL="0" distR="0">
            <wp:extent cx="4411980" cy="5882640"/>
            <wp:effectExtent l="0" t="0" r="0" b="0"/>
            <wp:docPr id="1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58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</w:rPr>
      </w:pPr>
      <w:r>
        <w:rPr>
          <w:rFonts w:cs="Arial" w:ascii="Arial" w:hAnsi="Arial"/>
          <w:i w:val="false"/>
          <w:iCs w:val="false"/>
          <w:color w:val="auto"/>
        </w:rPr>
        <w:t>Figura 8 – SIPAT | Fotografia: Humanização - HERSO/IPGSE</w:t>
      </w:r>
      <w:r>
        <w:rPr>
          <w:rFonts w:cs="Arial" w:ascii="Arial" w:hAnsi="Arial"/>
          <w:i w:val="false"/>
          <w:iCs w:val="false"/>
        </w:rPr>
        <w:t xml:space="preserve"> </w:t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keepNext w:val="true"/>
        <w:spacing w:before="240" w:after="160"/>
        <w:ind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  <w:lang w:val="pt-PT"/>
        </w:rPr>
      </w:r>
    </w:p>
    <w:p>
      <w:pPr>
        <w:pStyle w:val="ListParagraph"/>
        <w:keepNext w:val="true"/>
        <w:numPr>
          <w:ilvl w:val="0"/>
          <w:numId w:val="2"/>
        </w:numPr>
        <w:spacing w:before="240" w:after="160"/>
        <w:ind w:hanging="0" w:start="-993" w:end="-567"/>
        <w:contextualSpacing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</w:rPr>
        <w:t>SESMT | SIPAT</w:t>
      </w:r>
    </w:p>
    <w:p>
      <w:pPr>
        <w:pStyle w:val="Normal"/>
        <w:jc w:val="center"/>
        <w:rPr>
          <w:rFonts w:ascii="Arial" w:hAnsi="Arial" w:cs="Arial"/>
        </w:rPr>
      </w:pPr>
      <w:r>
        <w:rPr/>
        <w:drawing>
          <wp:inline distT="0" distB="0" distL="0" distR="0">
            <wp:extent cx="4321175" cy="5761355"/>
            <wp:effectExtent l="0" t="0" r="0" b="0"/>
            <wp:docPr id="14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a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57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rFonts w:ascii="Arial" w:hAnsi="Arial" w:cs="Arial"/>
          <w:i w:val="false"/>
          <w:iCs w:val="false"/>
        </w:rPr>
      </w:pPr>
      <w:bookmarkStart w:id="37" w:name="_Toc224813405"/>
      <w:bookmarkStart w:id="38" w:name="_Toc224113850"/>
      <w:r>
        <w:rPr>
          <w:rFonts w:cs="Arial" w:ascii="Arial" w:hAnsi="Arial"/>
          <w:i w:val="false"/>
          <w:iCs w:val="false"/>
          <w:color w:val="auto"/>
        </w:rPr>
        <w:t>Figura 9 – SIPAT | Fotografia: Humanização - HERSO/IPGSE</w:t>
      </w:r>
      <w:bookmarkEnd w:id="37"/>
      <w:bookmarkEnd w:id="38"/>
      <w:r>
        <w:rPr>
          <w:rFonts w:cs="Arial" w:ascii="Arial" w:hAnsi="Arial"/>
          <w:i w:val="false"/>
          <w:iCs w:val="false"/>
        </w:rPr>
        <w:t xml:space="preserve"> </w:t>
      </w:r>
    </w:p>
    <w:p>
      <w:pPr>
        <w:pStyle w:val="Normal"/>
        <w:keepNext w:val="true"/>
        <w:spacing w:before="240" w:after="160"/>
        <w:ind w:end="-567"/>
        <w:rPr>
          <w:rFonts w:ascii="Arial" w:hAnsi="Arial" w:cs="Arial"/>
          <w:b/>
          <w:bCs/>
          <w:lang w:val="pt-PT"/>
        </w:rPr>
      </w:pPr>
      <w:r>
        <w:rPr>
          <w:rFonts w:cs="Arial" w:ascii="Arial" w:hAnsi="Arial"/>
          <w:b/>
          <w:bCs/>
          <w:lang w:val="pt-PT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3"/>
        </w:numPr>
        <w:ind w:hanging="360" w:start="-567"/>
        <w:rPr>
          <w:rFonts w:ascii="Arial" w:hAnsi="Arial" w:cs="Arial"/>
          <w:b/>
          <w:bCs/>
          <w:color w:themeColor="text1" w:val="000000"/>
          <w:sz w:val="22"/>
          <w:szCs w:val="22"/>
          <w:shd w:fill="FFFFFF" w:val="clear"/>
        </w:rPr>
      </w:pPr>
      <w:bookmarkStart w:id="39" w:name="_Toc236814319"/>
      <w:bookmarkStart w:id="40" w:name="_Toc221139490"/>
      <w:r>
        <w:rPr>
          <w:rFonts w:cs="Arial" w:ascii="Arial" w:hAnsi="Arial"/>
          <w:b/>
          <w:bCs/>
          <w:color w:themeColor="text1" w:val="000000"/>
          <w:sz w:val="22"/>
          <w:szCs w:val="22"/>
          <w:shd w:fill="FFFFFF" w:val="clear"/>
        </w:rPr>
        <w:t>ASPECTOS FINANCEIROS E CONTÁBEIS</w:t>
      </w:r>
      <w:bookmarkEnd w:id="39"/>
      <w:bookmarkEnd w:id="40"/>
      <w:r>
        <w:rPr>
          <w:rFonts w:cs="Arial" w:ascii="Arial" w:hAnsi="Arial"/>
          <w:b/>
          <w:bCs/>
          <w:color w:themeColor="text1" w:val="000000"/>
          <w:sz w:val="22"/>
          <w:szCs w:val="22"/>
          <w:shd w:fill="FFFFFF" w:val="clear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Os Índices referentes à competência julho de 2026 serão apresentados no relatório da competência agosto de 2026 devido ao período de fechamento contábil.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3"/>
        <w:numPr>
          <w:ilvl w:val="1"/>
          <w:numId w:val="5"/>
        </w:numPr>
        <w:ind w:hanging="0" w:start="-567"/>
        <w:rPr>
          <w:rFonts w:ascii="Arial" w:hAnsi="Arial" w:cs="Arial"/>
          <w:b/>
          <w:bCs/>
          <w:color w:val="auto"/>
          <w:sz w:val="22"/>
          <w:szCs w:val="22"/>
        </w:rPr>
      </w:pPr>
      <w:bookmarkStart w:id="41" w:name="_Toc236814320"/>
      <w:r>
        <w:rPr>
          <w:rFonts w:cs="Arial" w:ascii="Arial" w:hAnsi="Arial"/>
          <w:b/>
          <w:bCs/>
          <w:color w:val="auto"/>
          <w:sz w:val="22"/>
          <w:szCs w:val="22"/>
        </w:rPr>
        <w:t>ÍNDICE DE EFICIÊNCIA FINANCEIRA</w:t>
      </w:r>
      <w:bookmarkEnd w:id="41"/>
      <w:r>
        <w:rPr>
          <w:rFonts w:cs="Arial" w:ascii="Arial" w:hAnsi="Arial"/>
          <w:b/>
          <w:bCs/>
          <w:color w:val="auto"/>
          <w:sz w:val="22"/>
          <w:szCs w:val="22"/>
        </w:rPr>
        <w:t xml:space="preserve"> </w:t>
      </w:r>
    </w:p>
    <w:p>
      <w:pPr>
        <w:pStyle w:val="BodyText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 tabela a seguir, apresenta-se o nível de liquidez financeira alcançado pelo HERSO por meio do índice de Eficiência Financeira, referente ao período de junho de 2026. </w:t>
      </w:r>
    </w:p>
    <w:p>
      <w:pPr>
        <w:pStyle w:val="BodyText"/>
        <w:ind w:start="1088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Fórmula: (Saldo Inicial + Entradas do período) / Total de saídas do período</w:t>
      </w:r>
    </w:p>
    <w:p>
      <w:pPr>
        <w:pStyle w:val="BodyText"/>
        <w:ind w:start="1088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9672" w:type="dxa"/>
        <w:jc w:val="start"/>
        <w:tblInd w:w="-431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1560"/>
        <w:gridCol w:w="1984"/>
        <w:gridCol w:w="2268"/>
        <w:gridCol w:w="2411"/>
        <w:gridCol w:w="1449"/>
      </w:tblGrid>
      <w:tr>
        <w:trPr>
          <w:trHeight w:val="1343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Indice de Eficiência Financeira - HERSO 2025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Saldo Inicial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Total de entradas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Total de Saídas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Resultado</w:t>
            </w:r>
          </w:p>
        </w:tc>
      </w:tr>
      <w:tr>
        <w:trPr>
          <w:trHeight w:val="275" w:hRule="atLeast"/>
        </w:trPr>
        <w:tc>
          <w:tcPr>
            <w:tcW w:w="15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ABR/26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R$ 15.528.375,99</w:t>
            </w:r>
          </w:p>
        </w:tc>
        <w:tc>
          <w:tcPr>
            <w:tcW w:w="22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R$ 12.990.919,24</w:t>
            </w:r>
          </w:p>
        </w:tc>
        <w:tc>
          <w:tcPr>
            <w:tcW w:w="24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R$ 7.234.434,29</w:t>
            </w:r>
          </w:p>
        </w:tc>
        <w:tc>
          <w:tcPr>
            <w:tcW w:w="144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3,94</w:t>
            </w:r>
          </w:p>
        </w:tc>
      </w:tr>
    </w:tbl>
    <w:p>
      <w:pPr>
        <w:pStyle w:val="BodyText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Tabela 9 – Índice de Eficiência Financeira </w:t>
      </w:r>
    </w:p>
    <w:p>
      <w:pPr>
        <w:pStyle w:val="BodyTex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3"/>
        <w:numPr>
          <w:ilvl w:val="0"/>
          <w:numId w:val="0"/>
        </w:numPr>
        <w:ind w:hanging="0" w:start="-567"/>
        <w:rPr>
          <w:rFonts w:ascii="Arial" w:hAnsi="Arial" w:cs="Arial"/>
          <w:b/>
          <w:bCs/>
          <w:color w:val="auto"/>
          <w:sz w:val="22"/>
          <w:szCs w:val="22"/>
        </w:rPr>
      </w:pPr>
      <w:bookmarkStart w:id="42" w:name="_Toc236814321"/>
      <w:r>
        <w:rPr>
          <w:rFonts w:cs="Arial" w:ascii="Arial" w:hAnsi="Arial"/>
          <w:b/>
          <w:bCs/>
          <w:color w:val="auto"/>
          <w:sz w:val="22"/>
          <w:szCs w:val="22"/>
        </w:rPr>
        <w:t>6.2 ÍNDICE CONTÁBIL</w:t>
      </w:r>
      <w:bookmarkEnd w:id="42"/>
      <w:r>
        <w:rPr>
          <w:rFonts w:cs="Arial" w:ascii="Arial" w:hAnsi="Arial"/>
          <w:b/>
          <w:bCs/>
          <w:color w:val="auto"/>
          <w:sz w:val="22"/>
          <w:szCs w:val="22"/>
        </w:rPr>
        <w:t xml:space="preserve"> </w:t>
      </w:r>
    </w:p>
    <w:p>
      <w:pPr>
        <w:pStyle w:val="BodyText"/>
        <w:spacing w:lineRule="auto" w:line="36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Índices contábeis são indicadores financeiros calculados a partir de balanços e demonstrações (DRE, DFC) para avaliar o desempenho de um negócio</w:t>
      </w:r>
      <w:r>
        <w:rPr>
          <w:rFonts w:cs="Arial" w:ascii="Arial" w:hAnsi="Arial"/>
          <w:color w:val="0A0A0A"/>
          <w:shd w:fill="FFFFFF" w:val="clear"/>
        </w:rPr>
        <w:t>. </w:t>
      </w:r>
      <w:r>
        <w:rPr>
          <w:rFonts w:cs="Arial" w:ascii="Arial" w:hAnsi="Arial"/>
        </w:rPr>
        <w:t xml:space="preserve"> Esse índice manteve-se estável, revelando eficiência e economicidade na gestão dos recursos pela Unidade Hospitalar, conforme o confronto de todas as Receitas com as Despesas indicou. </w:t>
      </w:r>
    </w:p>
    <w:p>
      <w:pPr>
        <w:pStyle w:val="BodyText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Fórmula: [Receita total do período] / [Despesa total no mesmo período]</w:t>
      </w:r>
    </w:p>
    <w:p>
      <w:pPr>
        <w:pStyle w:val="BodyText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Janeiro/2026 a Junho/2026</w:t>
      </w:r>
    </w:p>
    <w:tbl>
      <w:tblPr>
        <w:tblW w:w="9080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1879"/>
        <w:gridCol w:w="2401"/>
        <w:gridCol w:w="2400"/>
        <w:gridCol w:w="2400"/>
      </w:tblGrid>
      <w:tr>
        <w:trPr>
          <w:trHeight w:val="325" w:hRule="atLeast"/>
        </w:trPr>
        <w:tc>
          <w:tcPr>
            <w:tcW w:w="18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HERSO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Receita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Despesas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9BC2E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pt-BR"/>
              </w:rPr>
              <w:t>Índice</w:t>
            </w:r>
          </w:p>
        </w:tc>
      </w:tr>
      <w:tr>
        <w:trPr>
          <w:trHeight w:val="267" w:hRule="atLeast"/>
        </w:trPr>
        <w:tc>
          <w:tcPr>
            <w:tcW w:w="187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 xml:space="preserve">Indice Contábil </w:t>
            </w:r>
          </w:p>
        </w:tc>
        <w:tc>
          <w:tcPr>
            <w:tcW w:w="2401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R$ 52.554.085,34</w:t>
            </w:r>
          </w:p>
        </w:tc>
        <w:tc>
          <w:tcPr>
            <w:tcW w:w="240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R$ 52.554.085,34</w:t>
            </w:r>
          </w:p>
        </w:tc>
        <w:tc>
          <w:tcPr>
            <w:tcW w:w="240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 w:ascii="Arial" w:hAnsi="Arial"/>
                <w:color w:val="000000"/>
                <w:lang w:eastAsia="pt-BR"/>
              </w:rPr>
              <w:t>1,00</w:t>
            </w:r>
          </w:p>
        </w:tc>
      </w:tr>
    </w:tbl>
    <w:p>
      <w:pPr>
        <w:pStyle w:val="BodyText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Tabela 10 – Índice Contábil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numPr>
          <w:ilvl w:val="0"/>
          <w:numId w:val="3"/>
        </w:numPr>
        <w:ind w:hanging="360" w:start="-567"/>
        <w:rPr>
          <w:rFonts w:ascii="Arial" w:hAnsi="Arial" w:cs="Arial"/>
          <w:b/>
          <w:bCs/>
          <w:color w:val="auto"/>
          <w:sz w:val="22"/>
          <w:szCs w:val="22"/>
          <w:lang w:val="pt-PT"/>
        </w:rPr>
      </w:pPr>
      <w:bookmarkStart w:id="43" w:name="_Toc236814322"/>
      <w:r>
        <w:rPr>
          <w:rFonts w:cs="Arial" w:ascii="Arial" w:hAnsi="Arial"/>
          <w:b/>
          <w:bCs/>
          <w:color w:val="auto"/>
          <w:sz w:val="22"/>
          <w:szCs w:val="22"/>
        </w:rPr>
        <w:t>IMPACTO BENEFÍCIO SOCIAL</w:t>
      </w:r>
      <w:bookmarkEnd w:id="43"/>
      <w:r>
        <w:rPr>
          <w:rFonts w:cs="Arial" w:ascii="Arial" w:hAnsi="Arial"/>
          <w:b/>
          <w:bCs/>
          <w:color w:val="auto"/>
          <w:sz w:val="22"/>
          <w:szCs w:val="22"/>
        </w:rPr>
        <w:t xml:space="preserve"> 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both"/>
        <w:rPr>
          <w:rFonts w:ascii="Arial" w:hAnsi="Arial" w:cs="Arial"/>
          <w:lang w:val="pt-PT"/>
        </w:rPr>
      </w:pPr>
      <w:r>
        <w:rPr>
          <w:rFonts w:cs="Arial" w:ascii="Arial" w:hAnsi="Arial"/>
          <w:lang w:val="pt-PT"/>
        </w:rPr>
        <w:t>O HERSO exerce um papel importante na promoção da saúde pública e no bem-estar social da população das cidades que atende. Atuando como referência regional em atendimento emergencial, o hospital garante acesso rápido e qualificado a serviços essenciais de saúde, contribuindo diretamente para a redução de complicações médicas e para o salvamento de vidas. Atendendo diversos municípios, o hospital amplia o alcance do sistema de saúde, assegurando que mesmo as populações de cidades menores tenham acesso a cuidados especializados e infraestrutura adequada em situações críticas. No mês de julho de 2026, foram realizados 2.786 atendimentos, entre procedimentos de urgência e ambulatorial. No gráfico abaixo relaciona as 3 cidades com maiores demandas.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center"/>
        <w:rPr>
          <w:rFonts w:ascii="Arial" w:hAnsi="Arial" w:cs="Arial"/>
          <w:lang w:val="pt-PT"/>
        </w:rPr>
      </w:pPr>
      <w:r>
        <w:rPr/>
        <w:drawing>
          <wp:inline distT="0" distB="0" distL="0" distR="0">
            <wp:extent cx="4631690" cy="3143250"/>
            <wp:effectExtent l="0" t="0" r="0" b="0"/>
            <wp:docPr id="15" name="Objeto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pStyle w:val="Caption"/>
        <w:ind w:start="-993" w:end="-567"/>
        <w:jc w:val="center"/>
        <w:rPr>
          <w:rFonts w:ascii="Arial" w:hAnsi="Arial" w:cs="Arial"/>
          <w:i w:val="false"/>
          <w:iCs w:val="false"/>
          <w:color w:val="auto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Gráfico 5 – Atendimentos por cidade | Fonte: Estatística HERSO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both"/>
        <w:rPr>
          <w:rFonts w:ascii="Arial" w:hAnsi="Arial" w:cs="Arial"/>
          <w:lang w:val="pt-PT"/>
        </w:rPr>
      </w:pPr>
      <w:r>
        <w:rPr>
          <w:rFonts w:cs="Arial" w:ascii="Arial" w:hAnsi="Arial"/>
          <w:lang w:val="pt-PT"/>
        </w:rPr>
        <w:t>Com esse quantidade de atendimentos realizados — entre emergências clínicas, cirúrgicas e traumáticas —, o impacto social do hospital é mensurável não apenas em números, mas também na melhoria da qualidade de vida da população. Além de oferecer tratamento imediato, o hospital atua na prevenção de agravos e na orientação aos pacientes, contribuindo para um sistema de saúde mais eficiente e humanizado.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both"/>
        <w:rPr>
          <w:rFonts w:ascii="Arial" w:hAnsi="Arial" w:cs="Arial"/>
          <w:lang w:val="pt-PT"/>
        </w:rPr>
      </w:pPr>
      <w:r>
        <w:rPr>
          <w:rFonts w:cs="Arial" w:ascii="Arial" w:hAnsi="Arial"/>
          <w:lang w:val="pt-PT"/>
        </w:rPr>
        <w:t>No âmbito das ações voltadas à qualificação contínua da assistência e ao fortalecimento da gestão em saúde, o Hospital Estadual de Santa Helena de Goiás Dr. Albanir Faleiros Machado (HERSO) apresenta importantes reconhecimentos que evidenciam a qualidade dos serviços prestados e o compromisso institucional com a segurança do paciente e a excelência assistencial.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both"/>
        <w:rPr>
          <w:rFonts w:ascii="Arial" w:hAnsi="Arial" w:cs="Arial"/>
          <w:lang w:val="pt-PT"/>
        </w:rPr>
      </w:pPr>
      <w:r>
        <w:rPr>
          <w:rFonts w:cs="Arial" w:ascii="Arial" w:hAnsi="Arial"/>
          <w:lang w:val="pt-PT"/>
        </w:rPr>
        <w:t xml:space="preserve">O HERSO possui Acreditação ONA Nível 1, certificação que atesta a conformidade da instituição com os padrões de segurança do paciente e qualidade dos processos assistenciais. Além disso, em janeiro de 2026, a unidade foi reconhecida entre os 100 Melhores Hospitais Públicos do Brasil, </w:t>
      </w:r>
      <w:r>
        <w:rPr>
          <w:rFonts w:cs="Arial" w:ascii="Arial" w:hAnsi="Arial"/>
        </w:rPr>
        <w:t>resultado de um estudo realizado pelo Instituto Brasileiro das Organizações Sociais de Saúde (Ibross), em parceria com a OPAS/OMS, Instituto Ética Saúde (IES), Conass e Conasems, que avalia a qualidade da assistência e a gestão no SUS e</w:t>
      </w:r>
      <w:r>
        <w:rPr>
          <w:rFonts w:cs="Arial" w:ascii="Arial" w:hAnsi="Arial"/>
          <w:lang w:val="pt-PT"/>
        </w:rPr>
        <w:t xml:space="preserve"> reforça o desempenho da instituição e a efetividade do modelo de gestão adotado.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both"/>
        <w:rPr>
          <w:rFonts w:ascii="Arial" w:hAnsi="Arial" w:cs="Arial"/>
          <w:lang w:val="pt-PT"/>
        </w:rPr>
      </w:pPr>
      <w:r>
        <w:rPr>
          <w:rFonts w:cs="Arial" w:ascii="Arial" w:hAnsi="Arial"/>
          <w:lang w:val="pt-PT"/>
        </w:rPr>
        <w:t>Destaca-se, ainda, que a Unidade de Terapia Intensiva (UTI) do HERSO foi contemplada com o Selo UTI Eficiente, concedido em parceria pela Associação de Medicina Intensiva Brasileira (AMIB) e pela Epimed Solutions. Esse reconhecimento é atribuído às UTIs que demonstram elevado desempenho assistencial, conciliando qualidade do cuidado, eficiência na utilização dos recursos e resultados clínicos superiores aos padrões nacionais.</w:t>
      </w:r>
    </w:p>
    <w:p>
      <w:pPr>
        <w:pStyle w:val="Normal"/>
        <w:keepNext w:val="true"/>
        <w:spacing w:lineRule="auto" w:line="360" w:before="240" w:after="160"/>
        <w:ind w:firstLine="1134" w:start="-1134" w:end="-567"/>
        <w:jc w:val="both"/>
        <w:rPr>
          <w:rFonts w:ascii="Arial" w:hAnsi="Arial" w:cs="Arial"/>
          <w:lang w:val="pt-PT"/>
        </w:rPr>
      </w:pPr>
      <w:r>
        <w:rPr>
          <w:rFonts w:cs="Arial" w:ascii="Arial" w:hAnsi="Arial"/>
          <w:lang w:val="pt-PT"/>
        </w:rPr>
        <w:t>Essas certificações e reconhecimentos agregam valor à assistência prestada, fortalecem a credibilidade institucional e evidenciam o compromisso permanente do HERSO com a melhoria contínua dos processos, a segurança do paciente e a excelência na prestação dos serviços públicos de saúde.</w:t>
      </w:r>
    </w:p>
    <w:p>
      <w:pPr>
        <w:pStyle w:val="Heading2"/>
        <w:numPr>
          <w:ilvl w:val="0"/>
          <w:numId w:val="3"/>
        </w:numPr>
        <w:rPr>
          <w:rFonts w:ascii="Arial" w:hAnsi="Arial" w:cs="Arial"/>
          <w:b/>
          <w:bCs/>
          <w:vanish/>
          <w:spacing w:val="-10"/>
          <w:sz w:val="22"/>
          <w:szCs w:val="22"/>
          <w:shd w:fill="FFFFFF" w:val="clear"/>
        </w:rPr>
      </w:pPr>
      <w:r>
        <w:rPr>
          <w:rFonts w:cs="Arial" w:ascii="Arial" w:hAnsi="Arial"/>
          <w:b/>
          <w:bCs/>
          <w:vanish w:val="false"/>
          <w:spacing w:val="-10"/>
          <w:sz w:val="22"/>
          <w:szCs w:val="22"/>
          <w:shd w:fill="FFFFFF" w:val="clear"/>
        </w:rPr>
      </w:r>
      <w:bookmarkStart w:id="44" w:name="_Toc158119986"/>
      <w:bookmarkStart w:id="45" w:name="_Toc236814323"/>
      <w:bookmarkStart w:id="46" w:name="_Toc224813356"/>
      <w:bookmarkEnd w:id="45"/>
      <w:bookmarkEnd w:id="46"/>
    </w:p>
    <w:p>
      <w:pPr>
        <w:pStyle w:val="Heading2"/>
        <w:numPr>
          <w:ilvl w:val="0"/>
          <w:numId w:val="3"/>
        </w:numPr>
        <w:rPr>
          <w:rFonts w:ascii="Arial" w:hAnsi="Arial" w:cs="Arial"/>
          <w:b/>
          <w:bCs/>
          <w:vanish/>
          <w:spacing w:val="-10"/>
          <w:sz w:val="22"/>
          <w:szCs w:val="22"/>
          <w:shd w:fill="FFFFFF" w:val="clear"/>
        </w:rPr>
      </w:pPr>
      <w:r>
        <w:rPr>
          <w:rFonts w:cs="Arial" w:ascii="Arial" w:hAnsi="Arial"/>
          <w:b/>
          <w:bCs/>
          <w:vanish w:val="false"/>
          <w:spacing w:val="-10"/>
          <w:sz w:val="22"/>
          <w:szCs w:val="22"/>
          <w:shd w:fill="FFFFFF" w:val="clear"/>
        </w:rPr>
      </w:r>
      <w:bookmarkStart w:id="47" w:name="_Toc236814324"/>
      <w:bookmarkStart w:id="48" w:name="_Toc224813357"/>
      <w:bookmarkEnd w:id="44"/>
      <w:bookmarkEnd w:id="47"/>
      <w:bookmarkEnd w:id="48"/>
    </w:p>
    <w:p>
      <w:pPr>
        <w:pStyle w:val="Normal"/>
        <w:spacing w:lineRule="auto" w:line="360"/>
        <w:ind w:start="-1134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  <w:t>Registra-se neste documento a produção executada no período de 01 a 31 de julho de 2026, pelo Instituto de Planejamento e Gestão de Serviços Especializados- IPGSE na gestão e administração do Hospital Estadual de Santa Helena de Goiás Dr. Albanir Faleiros Machado - HERSO, no cumprimento do Termo de Colaboração n° 101/2024 - SES.</w:t>
      </w:r>
    </w:p>
    <w:p>
      <w:pPr>
        <w:pStyle w:val="Normal"/>
        <w:spacing w:lineRule="auto" w:line="360"/>
        <w:ind w:start="-993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Ubyratan Gonzaga Coelho </w:t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DIRETOR GERAL</w:t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</w:rPr>
      </w:pPr>
      <w:r>
        <w:rPr>
          <w:rFonts w:cs="Arial" w:ascii="Arial" w:hAnsi="Arial"/>
        </w:rPr>
        <w:t>Hospital Estadual de Santa Helena de Goiás Dr. Albanir Faleiros Machado (HERSO)</w:t>
      </w:r>
    </w:p>
    <w:p>
      <w:pPr>
        <w:pStyle w:val="Normal"/>
        <w:spacing w:lineRule="auto" w:line="360"/>
        <w:ind w:start="-993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-993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-993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-993" w:end="-113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</w:rPr>
      </w:pPr>
      <w:r>
        <w:rPr>
          <w:rFonts w:cs="Arial" w:ascii="Arial" w:hAnsi="Arial"/>
        </w:rPr>
        <w:t>Ariany Cristina Marques Silva</w:t>
      </w:r>
    </w:p>
    <w:p>
      <w:pPr>
        <w:pStyle w:val="Normal"/>
        <w:spacing w:lineRule="auto" w:line="276" w:before="0" w:after="0"/>
        <w:ind w:start="-993" w:end="-1136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DIRETORA ADMINISTRATIVA</w:t>
      </w:r>
    </w:p>
    <w:p>
      <w:pPr>
        <w:pStyle w:val="Normal"/>
        <w:rPr>
          <w:rFonts w:ascii="Arial" w:hAnsi="Arial" w:cs="Arial"/>
          <w:lang w:eastAsia="pt-BR"/>
        </w:rPr>
      </w:pPr>
      <w:r>
        <w:rPr>
          <w:rFonts w:cs="Arial" w:ascii="Arial" w:hAnsi="Arial"/>
        </w:rPr>
        <w:t>Hospital Estadual de Santa Helena de Goiás Dr. Albanir Faleiros Machado (HERSO)</w:t>
      </w:r>
    </w:p>
    <w:p>
      <w:pPr>
        <w:pStyle w:val="Normal"/>
        <w:rPr>
          <w:rFonts w:ascii="Arial" w:hAnsi="Arial" w:cs="Arial"/>
          <w:lang w:eastAsia="pt-BR"/>
        </w:rPr>
      </w:pPr>
      <w:r>
        <w:rPr>
          <w:rFonts w:cs="Arial" w:ascii="Arial" w:hAnsi="Arial"/>
          <w:lang w:eastAsia="pt-BR"/>
        </w:rPr>
      </w:r>
    </w:p>
    <w:p>
      <w:pPr>
        <w:pStyle w:val="Normal"/>
        <w:rPr>
          <w:rFonts w:ascii="Arial" w:hAnsi="Arial" w:cs="Arial"/>
          <w:lang w:eastAsia="pt-BR"/>
        </w:rPr>
      </w:pPr>
      <w:r>
        <w:rPr>
          <w:rFonts w:cs="Arial" w:ascii="Arial" w:hAnsi="Arial"/>
          <w:lang w:eastAsia="pt-BR"/>
        </w:rPr>
      </w:r>
    </w:p>
    <w:p>
      <w:pPr>
        <w:pStyle w:val="Normal"/>
        <w:spacing w:before="0" w:after="160"/>
        <w:jc w:val="end"/>
        <w:rPr>
          <w:rFonts w:ascii="Arial" w:hAnsi="Arial" w:cs="Arial"/>
          <w:lang w:eastAsia="pt-BR"/>
        </w:rPr>
      </w:pPr>
      <w:r>
        <w:rPr>
          <w:rFonts w:cs="Arial" w:ascii="Arial" w:hAnsi="Arial"/>
        </w:rPr>
        <w:t>Rio Verde – GO, 05 de agosto de 2026.</w:t>
      </w:r>
    </w:p>
    <w:sectPr>
      <w:headerReference w:type="even" r:id="rId15"/>
      <w:headerReference w:type="default" r:id="rId16"/>
      <w:headerReference w:type="first" r:id="rId17"/>
      <w:footerReference w:type="even" r:id="rId18"/>
      <w:footerReference w:type="default" r:id="rId19"/>
      <w:footerReference w:type="first" r:id="rId20"/>
      <w:type w:val="nextPage"/>
      <w:pgSz w:w="11906" w:h="16838"/>
      <w:pgMar w:left="1701" w:right="1560" w:gutter="0" w:header="709" w:top="1701" w:footer="595" w:bottom="1985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Arial MT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882324725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31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882324725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7800" w:leader="none"/>
        <w:tab w:val="right" w:pos="9071" w:leader="none"/>
      </w:tabs>
      <w:rPr/>
    </w:pPr>
    <w:r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-1071880</wp:posOffset>
          </wp:positionH>
          <wp:positionV relativeFrom="paragraph">
            <wp:posOffset>-441960</wp:posOffset>
          </wp:positionV>
          <wp:extent cx="7534275" cy="10684510"/>
          <wp:effectExtent l="0" t="0" r="0" b="0"/>
          <wp:wrapNone/>
          <wp:docPr id="1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8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start"/>
      <w:pPr>
        <w:tabs>
          <w:tab w:val="num" w:pos="0"/>
        </w:tabs>
        <w:ind w:start="1068" w:hanging="360"/>
      </w:pPr>
      <w:rPr>
        <w:rFonts w:ascii="Arial" w:hAnsi="Arial" w:cs="Arial"/>
        <w:b/>
        <w:bCs/>
        <w:color w:themeColor="text1" w:val="000000"/>
        <w:sz w:val="24"/>
        <w:szCs w:val="24"/>
      </w:rPr>
    </w:lvl>
    <w:lvl w:ilvl="1">
      <w:start w:val="0"/>
      <w:numFmt w:val="decimal"/>
      <w:isLgl/>
      <w:lvlText w:val="%1.%2"/>
      <w:lvlJc w:val="start"/>
      <w:pPr>
        <w:tabs>
          <w:tab w:val="num" w:pos="0"/>
        </w:tabs>
        <w:ind w:start="1839" w:hanging="705"/>
      </w:pPr>
      <w:rPr>
        <w:rFonts w:ascii="Arial" w:hAnsi="Arial" w:cs="Arial"/>
        <w:b/>
        <w:bCs/>
        <w:color w:themeColor="text1" w:val="000000"/>
        <w:sz w:val="22"/>
        <w:szCs w:val="22"/>
      </w:rPr>
    </w:lvl>
    <w:lvl w:ilvl="2">
      <w:start w:val="1"/>
      <w:numFmt w:val="decimal"/>
      <w:isLgl/>
      <w:lvlText w:val="%1.%2.%3"/>
      <w:lvlJc w:val="start"/>
      <w:pPr>
        <w:tabs>
          <w:tab w:val="num" w:pos="0"/>
        </w:tabs>
        <w:ind w:start="1428" w:hanging="720"/>
      </w:pPr>
      <w:rPr>
        <w:rFonts w:ascii="Arial" w:hAnsi="Arial" w:cs="Arial"/>
        <w:b w:val="false"/>
        <w:bCs w:val="false"/>
        <w:color w:themeColor="text1" w:val="000000"/>
        <w:sz w:val="22"/>
        <w:szCs w:val="22"/>
      </w:rPr>
    </w:lvl>
    <w:lvl w:ilvl="3">
      <w:start w:val="1"/>
      <w:numFmt w:val="decimal"/>
      <w:isLgl/>
      <w:lvlText w:val="%1.%2.%3.%4"/>
      <w:lvlJc w:val="start"/>
      <w:pPr>
        <w:tabs>
          <w:tab w:val="num" w:pos="0"/>
        </w:tabs>
        <w:ind w:start="1428" w:hanging="720"/>
      </w:pPr>
      <w:rPr>
        <w:b w:val="false"/>
        <w:bCs/>
      </w:rPr>
    </w:lvl>
    <w:lvl w:ilvl="4">
      <w:start w:val="1"/>
      <w:numFmt w:val="decimal"/>
      <w:isLgl/>
      <w:lvlText w:val="%1.%2.%3.%4.%5"/>
      <w:lvlJc w:val="start"/>
      <w:pPr>
        <w:tabs>
          <w:tab w:val="num" w:pos="0"/>
        </w:tabs>
        <w:ind w:start="1788" w:hanging="1080"/>
      </w:pPr>
      <w:rPr/>
    </w:lvl>
    <w:lvl w:ilvl="5">
      <w:start w:val="1"/>
      <w:numFmt w:val="decimal"/>
      <w:isLgl/>
      <w:lvlText w:val="%1.%2.%3.%4.%5.%6"/>
      <w:lvlJc w:val="start"/>
      <w:pPr>
        <w:tabs>
          <w:tab w:val="num" w:pos="0"/>
        </w:tabs>
        <w:ind w:start="1788" w:hanging="1080"/>
      </w:pPr>
      <w:rPr/>
    </w:lvl>
    <w:lvl w:ilvl="6">
      <w:start w:val="1"/>
      <w:numFmt w:val="decimal"/>
      <w:isLgl/>
      <w:lvlText w:val="%1.%2.%3.%4.%5.%6.%7"/>
      <w:lvlJc w:val="start"/>
      <w:pPr>
        <w:tabs>
          <w:tab w:val="num" w:pos="0"/>
        </w:tabs>
        <w:ind w:start="2148" w:hanging="1440"/>
      </w:pPr>
      <w:rPr/>
    </w:lvl>
    <w:lvl w:ilvl="7">
      <w:start w:val="1"/>
      <w:numFmt w:val="decimal"/>
      <w:isLgl/>
      <w:lvlText w:val="%1.%2.%3.%4.%5.%6.%7.%8"/>
      <w:lvlJc w:val="start"/>
      <w:pPr>
        <w:tabs>
          <w:tab w:val="num" w:pos="0"/>
        </w:tabs>
        <w:ind w:start="2148" w:hanging="1440"/>
      </w:pPr>
      <w:rPr/>
    </w:lvl>
    <w:lvl w:ilvl="8">
      <w:start w:val="1"/>
      <w:numFmt w:val="decimal"/>
      <w:isLgl/>
      <w:lvlText w:val="%1.%2.%3.%4.%5.%6.%7.%8.%9"/>
      <w:lvlJc w:val="start"/>
      <w:pPr>
        <w:tabs>
          <w:tab w:val="num" w:pos="0"/>
        </w:tabs>
        <w:ind w:start="2148" w:hanging="144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Arial" w:hAnsi="Arial" w:cs="Arial"/>
        <w:b/>
        <w:bCs/>
        <w:color w:themeColor="text1" w:val="000000"/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5"/>
      <w:numFmt w:val="decimal"/>
      <w:lvlText w:val="%1.1"/>
      <w:lvlJc w:val="start"/>
      <w:pPr>
        <w:tabs>
          <w:tab w:val="num" w:pos="0"/>
        </w:tabs>
        <w:ind w:start="720" w:hanging="360"/>
      </w:pPr>
      <w:rPr>
        <w:color w:themeColor="text1"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6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72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44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80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252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28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360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396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4680" w:hanging="1800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link w:val="Ttulo1Char"/>
    <w:qFormat/>
    <w:pPr>
      <w:spacing w:lineRule="auto" w:line="240" w:before="88" w:after="0"/>
      <w:ind w:start="186"/>
      <w:outlineLvl w:val="0"/>
    </w:pPr>
    <w:rPr>
      <w:rFonts w:ascii="Arial" w:hAnsi="Arial" w:eastAsia="Arial" w:cs="Arial"/>
      <w:b/>
      <w:bCs/>
      <w:sz w:val="20"/>
      <w:szCs w:val="20"/>
      <w:lang w:val="pt-PT"/>
    </w:rPr>
  </w:style>
  <w:style w:type="paragraph" w:styleId="Heading2">
    <w:name w:val="heading 2"/>
    <w:basedOn w:val="Normal"/>
    <w:next w:val="BodyText"/>
    <w:link w:val="Ttulo2Char"/>
    <w:uiPriority w:val="9"/>
    <w:unhideWhenUsed/>
    <w:qFormat/>
    <w:pPr>
      <w:keepNext w:val="true"/>
      <w:keepLines/>
      <w:numPr>
        <w:ilvl w:val="0"/>
        <w:numId w:val="3"/>
      </w:numPr>
      <w:spacing w:before="40" w:after="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 w:val="true"/>
      <w:keepLines/>
      <w:numPr>
        <w:ilvl w:val="0"/>
        <w:numId w:val="4"/>
      </w:numPr>
      <w:spacing w:before="40" w:after="0"/>
      <w:outlineLvl w:val="2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7f" w:val="1F3763"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Arial" w:cs="Arial" w:asciiTheme="majorHAnsi" w:cstheme="majorBidi" w:eastAsiaTheme="majorEastAsia" w:hAnsiTheme="maj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2F5496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TextodenotadefimChar" w:customStyle="1">
    <w:name w:val="Texto de nota de fim Char"/>
    <w:basedOn w:val="DefaultParagraphFont"/>
    <w:uiPriority w:val="99"/>
    <w:semiHidden/>
    <w:qFormat/>
    <w:rPr>
      <w:sz w:val="20"/>
      <w:szCs w:val="20"/>
    </w:rPr>
  </w:style>
  <w:style w:type="character" w:styleId="Caracteresdenotadefim">
    <w:name w:val="Caracteres de nota de fim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Ttulo1Char" w:customStyle="1">
    <w:name w:val="Título 1 Char"/>
    <w:basedOn w:val="DefaultParagraphFont"/>
    <w:qFormat/>
    <w:rPr>
      <w:rFonts w:ascii="Arial" w:hAnsi="Arial" w:eastAsia="Arial" w:cs="Arial"/>
      <w:b/>
      <w:bCs/>
      <w:sz w:val="20"/>
      <w:szCs w:val="20"/>
      <w:lang w:val="pt-PT"/>
    </w:rPr>
  </w:style>
  <w:style w:type="character" w:styleId="Ttulo2Char" w:customStyle="1">
    <w:name w:val="Título 2 Char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Ttulo3Char" w:customStyle="1">
    <w:name w:val="Título 3 Char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7f" w:val="1F3763"/>
      <w:sz w:val="24"/>
      <w:szCs w:val="24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TtuloChar" w:customStyle="1">
    <w:name w:val="Título Char"/>
    <w:basedOn w:val="DefaultParagraphFont"/>
    <w:uiPriority w:val="10"/>
    <w:qFormat/>
    <w:rPr>
      <w:rFonts w:ascii="Times New Roman" w:hAnsi="Times New Roman" w:eastAsia="Arial" w:cs="Times New Roman" w:eastAsiaTheme="majorEastAsia"/>
      <w:b/>
      <w:bCs/>
      <w:spacing w:val="-10"/>
      <w:sz w:val="24"/>
      <w:szCs w:val="24"/>
    </w:rPr>
  </w:style>
  <w:style w:type="character" w:styleId="Ttulo4Char" w:customStyle="1">
    <w:name w:val="Título 4 Char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F5496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Pr>
      <w:sz w:val="20"/>
      <w:szCs w:val="20"/>
    </w:rPr>
  </w:style>
  <w:style w:type="character" w:styleId="Caracteresdenotaderodap">
    <w:name w:val="Caracteres de nota de rodapé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electable-text" w:customStyle="1">
    <w:name w:val="selectable-text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CorpodetextoChar" w:customStyle="1">
    <w:name w:val="Corpo de texto Char"/>
    <w:basedOn w:val="DefaultParagraphFont"/>
    <w:qFormat/>
    <w:rPr/>
  </w:style>
  <w:style w:type="character" w:styleId="Vnculodendice">
    <w:name w:val="Vínculo de índice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44546A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Normal"/>
    <w:next w:val="Normal"/>
    <w:link w:val="Subttulo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CitaoIntensa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EndnoteText">
    <w:name w:val="endnote text"/>
    <w:basedOn w:val="Normal"/>
    <w:link w:val="Textodenotadefim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star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star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star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star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start="1760"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western" w:customStyle="1">
    <w:name w:val="western"/>
    <w:basedOn w:val="Normal"/>
    <w:qFormat/>
    <w:pPr>
      <w:spacing w:lineRule="auto" w:line="276" w:beforeAutospacing="1" w:after="142"/>
      <w:ind w:hanging="11" w:start="709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msonormal" w:customStyle="1">
    <w:name w:val="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5" w:customStyle="1">
    <w:name w:val="xl6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66" w:customStyle="1">
    <w:name w:val="xl66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67" w:customStyle="1">
    <w:name w:val="xl67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68" w:customStyle="1">
    <w:name w:val="xl68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69" w:customStyle="1">
    <w:name w:val="xl69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70" w:customStyle="1">
    <w:name w:val="xl70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sz w:val="18"/>
      <w:szCs w:val="18"/>
      <w:lang w:eastAsia="pt-BR"/>
    </w:rPr>
  </w:style>
  <w:style w:type="paragraph" w:styleId="xl71" w:customStyle="1">
    <w:name w:val="xl71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sz w:val="18"/>
      <w:szCs w:val="18"/>
      <w:lang w:eastAsia="pt-BR"/>
    </w:rPr>
  </w:style>
  <w:style w:type="paragraph" w:styleId="xl72" w:customStyle="1">
    <w:name w:val="xl72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73" w:customStyle="1">
    <w:name w:val="xl73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74" w:customStyle="1">
    <w:name w:val="xl74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u w:val="single"/>
      <w:lang w:eastAsia="pt-BR"/>
    </w:rPr>
  </w:style>
  <w:style w:type="paragraph" w:styleId="xl75" w:customStyle="1">
    <w:name w:val="xl75"/>
    <w:basedOn w:val="Normal"/>
    <w:qFormat/>
    <w:pPr>
      <w:pBdr>
        <w:top w:val="single" w:sz="8" w:space="0" w:color="000000"/>
        <w:right w:val="single" w:sz="8" w:space="0" w:color="000000"/>
      </w:pBdr>
      <w:shd w:val="clear" w:color="000000" w:fill="DEEBF7"/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20"/>
      <w:szCs w:val="20"/>
      <w:lang w:eastAsia="pt-BR"/>
    </w:rPr>
  </w:style>
  <w:style w:type="paragraph" w:styleId="xl76" w:customStyle="1">
    <w:name w:val="xl76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DEEBF7"/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20"/>
      <w:szCs w:val="20"/>
      <w:lang w:eastAsia="pt-BR"/>
    </w:rPr>
  </w:style>
  <w:style w:type="paragraph" w:styleId="xl77" w:customStyle="1">
    <w:name w:val="xl77"/>
    <w:basedOn w:val="Normal"/>
    <w:qFormat/>
    <w:pPr>
      <w:pBdr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78" w:customStyle="1">
    <w:name w:val="xl78"/>
    <w:basedOn w:val="Normal"/>
    <w:qFormat/>
    <w:pPr>
      <w:pBdr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79" w:customStyle="1">
    <w:name w:val="xl79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0" w:customStyle="1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sz w:val="18"/>
      <w:szCs w:val="18"/>
      <w:lang w:eastAsia="pt-BR"/>
    </w:rPr>
  </w:style>
  <w:style w:type="paragraph" w:styleId="xl81" w:customStyle="1">
    <w:name w:val="xl81"/>
    <w:basedOn w:val="Normal"/>
    <w:qFormat/>
    <w:pPr>
      <w:pBdr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2" w:customStyle="1">
    <w:name w:val="xl82"/>
    <w:basedOn w:val="Normal"/>
    <w:qFormat/>
    <w:pP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3" w:customStyle="1">
    <w:name w:val="xl83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4" w:customStyle="1">
    <w:name w:val="xl84"/>
    <w:basedOn w:val="Normal"/>
    <w:qFormat/>
    <w:pPr>
      <w:pBdr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sz w:val="18"/>
      <w:szCs w:val="18"/>
      <w:lang w:eastAsia="pt-BR"/>
    </w:rPr>
  </w:style>
  <w:style w:type="paragraph" w:styleId="xl85" w:customStyle="1">
    <w:name w:val="xl85"/>
    <w:basedOn w:val="Normal"/>
    <w:qFormat/>
    <w:pPr>
      <w:pBdr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6" w:customStyle="1">
    <w:name w:val="xl8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7" w:customStyle="1">
    <w:name w:val="xl8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Arial" w:hAnsi="Arial" w:eastAsia="Times New Roman" w:cs="Arial"/>
      <w:color w:val="000000"/>
      <w:sz w:val="18"/>
      <w:szCs w:val="18"/>
      <w:lang w:eastAsia="pt-BR"/>
    </w:rPr>
  </w:style>
  <w:style w:type="paragraph" w:styleId="xl88" w:customStyle="1">
    <w:name w:val="xl88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EEBF7"/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20"/>
      <w:szCs w:val="20"/>
      <w:lang w:eastAsia="pt-BR"/>
    </w:rPr>
  </w:style>
  <w:style w:type="paragraph" w:styleId="xl89" w:customStyle="1">
    <w:name w:val="xl89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EEBF7"/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20"/>
      <w:szCs w:val="20"/>
      <w:lang w:eastAsia="pt-BR"/>
    </w:rPr>
  </w:style>
  <w:style w:type="paragraph" w:styleId="xl90" w:customStyle="1">
    <w:name w:val="xl90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ascii="Arial" w:hAnsi="Arial" w:eastAsia="Times New Roman" w:cs="Arial"/>
      <w:b/>
      <w:bCs/>
      <w:color w:val="000000"/>
      <w:sz w:val="18"/>
      <w:szCs w:val="18"/>
      <w:lang w:eastAsia="pt-BR"/>
    </w:rPr>
  </w:style>
  <w:style w:type="paragraph" w:styleId="xl91" w:customStyle="1">
    <w:name w:val="xl91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Arial" w:hAnsi="Arial" w:eastAsia="Times New Roman" w:cs="Arial"/>
      <w:b/>
      <w:bCs/>
      <w:color w:val="000000"/>
      <w:sz w:val="18"/>
      <w:szCs w:val="18"/>
      <w:lang w:eastAsia="pt-BR"/>
    </w:rPr>
  </w:style>
  <w:style w:type="paragraph" w:styleId="xl92" w:customStyle="1">
    <w:name w:val="xl92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sz w:val="18"/>
      <w:szCs w:val="18"/>
      <w:lang w:eastAsia="pt-BR"/>
    </w:rPr>
  </w:style>
  <w:style w:type="paragraph" w:styleId="xl93" w:customStyle="1">
    <w:name w:val="xl93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sz w:val="18"/>
      <w:szCs w:val="18"/>
      <w:lang w:eastAsia="pt-BR"/>
    </w:rPr>
  </w:style>
  <w:style w:type="paragraph" w:styleId="xl94" w:customStyle="1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18"/>
      <w:szCs w:val="18"/>
      <w:lang w:eastAsia="pt-BR"/>
    </w:rPr>
  </w:style>
  <w:style w:type="paragraph" w:styleId="xl95" w:customStyle="1">
    <w:name w:val="xl9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18"/>
      <w:szCs w:val="18"/>
      <w:lang w:eastAsia="pt-BR"/>
    </w:rPr>
  </w:style>
  <w:style w:type="paragraph" w:styleId="xl63" w:customStyle="1">
    <w:name w:val="xl6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EEBF7"/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16"/>
      <w:szCs w:val="16"/>
      <w:lang w:eastAsia="pt-BR"/>
    </w:rPr>
  </w:style>
  <w:style w:type="paragraph" w:styleId="xl64" w:customStyle="1">
    <w:name w:val="xl6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EEBF7"/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color w:val="000000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body" w:customStyle="1">
    <w:name w:val="Text body"/>
    <w:basedOn w:val="Normal"/>
    <w:qFormat/>
    <w:pPr>
      <w:spacing w:lineRule="auto" w:line="240" w:before="0" w:after="0"/>
    </w:pPr>
    <w:rPr>
      <w:rFonts w:ascii="Arial" w:hAnsi="Arial" w:eastAsia="Arial" w:cs="Arial"/>
      <w:sz w:val="20"/>
      <w:szCs w:val="20"/>
      <w:lang w:val="pt-PT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pPr>
      <w:widowControl w:val="false"/>
      <w:bidi w:val="0"/>
      <w:spacing w:lineRule="auto" w:line="240" w:before="0" w:after="0"/>
      <w:jc w:val="start"/>
    </w:pPr>
    <w:rPr>
      <w:rFonts w:ascii="Liberation Serif" w:hAnsi="Liberation Serif" w:eastAsia="SimSun" w:cs="Arial" w:cstheme="minorBidi"/>
      <w:color w:val="auto"/>
      <w:kern w:val="0"/>
      <w:sz w:val="24"/>
      <w:szCs w:val="24"/>
      <w:lang w:eastAsia="zh-CN" w:bidi="hi-IN" w:val="pt-BR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unhideWhenUsed/>
    <w:qFormat/>
    <w:pPr>
      <w:keepNext w:val="true"/>
      <w:keepLines/>
      <w:spacing w:lineRule="auto" w:line="259" w:before="240" w:after="0"/>
      <w:ind w:start="0"/>
      <w:outlineLvl w:val="9"/>
    </w:pPr>
    <w:rPr>
      <w:rFonts w:ascii="Calibri Light" w:hAnsi="Calibri Light" w:eastAsia="Arial" w:cs="Arial" w:asciiTheme="majorHAnsi" w:cstheme="majorBidi" w:eastAsiaTheme="majorEastAsia" w:hAnsiTheme="majorHAnsi"/>
      <w:b w:val="false"/>
      <w:bCs w:val="false"/>
      <w:color w:themeColor="accent1" w:themeShade="bf" w:val="2F5496"/>
      <w:sz w:val="32"/>
      <w:szCs w:val="32"/>
      <w:lang w:val="pt-BR" w:eastAsia="pt-BR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3">
    <w:name w:val="toc 3"/>
    <w:basedOn w:val="Normal"/>
    <w:next w:val="Normal"/>
    <w:uiPriority w:val="39"/>
    <w:unhideWhenUsed/>
    <w:pPr>
      <w:tabs>
        <w:tab w:val="clear" w:pos="708"/>
        <w:tab w:val="left" w:pos="1320" w:leader="none"/>
        <w:tab w:val="right" w:pos="9071" w:leader="dot"/>
      </w:tabs>
      <w:spacing w:before="0" w:after="100"/>
      <w:ind w:start="440"/>
    </w:pPr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tuloChar"/>
    <w:uiPriority w:val="10"/>
    <w:qFormat/>
    <w:pPr>
      <w:numPr>
        <w:ilvl w:val="0"/>
        <w:numId w:val="1"/>
      </w:numPr>
      <w:spacing w:lineRule="auto" w:line="240" w:before="0" w:after="0"/>
      <w:contextualSpacing/>
    </w:pPr>
    <w:rPr>
      <w:rFonts w:ascii="Times New Roman" w:hAnsi="Times New Roman" w:eastAsia="Arial" w:cs="Times New Roman" w:eastAsiaTheme="majorEastAsia"/>
      <w:b/>
      <w:bCs/>
      <w:spacing w:val="-10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pPr>
      <w:tabs>
        <w:tab w:val="clear" w:pos="708"/>
        <w:tab w:val="left" w:pos="660" w:leader="none"/>
        <w:tab w:val="right" w:pos="9061" w:leader="dot"/>
      </w:tabs>
      <w:spacing w:before="0" w:after="100"/>
      <w:ind w:start="220"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start="660"/>
    </w:pPr>
    <w:rPr/>
  </w:style>
  <w:style w:type="paragraph" w:styleId="FootnoteText">
    <w:name w:val="footnote text"/>
    <w:basedOn w:val="Normal"/>
    <w:link w:val="Textodenotaderodap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ontedodatabela" w:customStyle="1">
    <w:name w:val="Conteúdo da tabela"/>
    <w:basedOn w:val="Standard"/>
    <w:uiPriority w:val="99"/>
    <w:qFormat/>
    <w:pPr>
      <w:widowControl/>
      <w:suppressLineNumbers/>
    </w:pPr>
    <w:rPr>
      <w:rFonts w:ascii="Tahoma" w:hAnsi="Tahoma" w:eastAsia="Times New Roman" w:cs="Times New Roman"/>
      <w:sz w:val="20"/>
      <w:szCs w:val="20"/>
      <w:lang w:val="pt-PT" w:bidi="ar-SA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exact" w:line="255" w:before="0" w:after="0"/>
      <w:ind w:start="10"/>
      <w:jc w:val="center"/>
    </w:pPr>
    <w:rPr>
      <w:rFonts w:ascii="Arial MT" w:hAnsi="Arial MT" w:eastAsia="Arial MT" w:cs="Arial MT"/>
      <w:lang w:val="pt-PT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p1" w:customStyle="1">
    <w:name w:val="p1"/>
    <w:basedOn w:val="Normal"/>
    <w:qFormat/>
    <w:pPr>
      <w:spacing w:lineRule="auto" w:line="240" w:before="0" w:after="0"/>
    </w:pPr>
    <w:rPr>
      <w:rFonts w:ascii="Arial" w:hAnsi="Arial" w:eastAsia="Times New Roman" w:cs="Arial"/>
      <w:color w:val="000000"/>
      <w:sz w:val="17"/>
      <w:szCs w:val="17"/>
      <w:lang w:eastAsia="pt-BR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sz w:val="20"/>
      <w:szCs w:val="20"/>
      <w:lang w:eastAsia="pt-B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Tabelacomgrade">
    <w:name w:val="Table Grid"/>
    <w:basedOn w:val="Tabelanormal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">
    <w:name w:val="Table Normal"/>
    <w:uiPriority w:val="2"/>
    <w:semiHidden/>
    <w:unhideWhenUsed/>
    <w:qFormat/>
    <w:pPr>
      <w:spacing w:after="0" w:line="240" w:lineRule="auto"/>
    </w:pPr>
    <w:rPr>
      <w:sz w:val="20"/>
      <w:szCs w:val="20"/>
      <w:lang w:val="en-US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chart" Target="charts/chart1.xml"/><Relationship Id="rId4" Type="http://schemas.openxmlformats.org/officeDocument/2006/relationships/chart" Target="charts/chart2.xml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image" Target="media/image4.pn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chart" Target="charts/chart3.xm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1.png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sz="1300" b="0" u="none" strike="noStrike">
                <a:uFillTx/>
                <a:latin typeface="Arial"/>
              </a:defRPr>
            </a:pPr>
            <a:r>
              <a:rPr lang="pt-BR" sz="1200" b="0" u="none" strike="noStrike">
                <a:solidFill>
                  <a:schemeClr val="bg1">
                    <a:lumMod val="65000"/>
                  </a:schemeClr>
                </a:solidFill>
                <a:uFillTx/>
                <a:latin typeface="Arial"/>
                <a:ea typeface="Arial"/>
              </a:rPr>
              <a:t>Elogiados do mês</a:t>
            </a:r>
          </a:p>
        </c:rich>
      </c:tx>
      <c:layout>
        <c:manualLayout>
          <c:xMode val="edge"/>
          <c:yMode val="edge"/>
          <c:x val="0.360074010440759"/>
          <c:y val="0.919859547660849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305625"/>
          <c:y val="0.087"/>
          <c:w val="0.938875"/>
          <c:h val="0.7667777777777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rgbClr val="00344C"/>
            </a:solidFill>
            <a:ln w="1260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sz="900" b="1" u="none" strike="noStrike">
                    <a:solidFill>
                      <a:srgbClr val="000000"/>
                    </a:solidFill>
                    <a:uFillTx/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categories</c:f>
              <c:numCache>
                <c:formatCode>mmm\-yy</c:formatCode>
                <c:ptCount val="3"/>
                <c:pt idx="0">
                  <c:v>46143</c:v>
                </c:pt>
                <c:pt idx="1">
                  <c:v>46174</c:v>
                </c:pt>
                <c:pt idx="2">
                  <c:v>46204</c:v>
                </c:pt>
              </c:numCache>
            </c:numRef>
          </c:cat>
          <c:val>
            <c:numRef>
              <c:f>0</c:f>
              <c:numCache>
                <c:formatCode>General</c:formatCode>
                <c:ptCount val="3"/>
                <c:pt idx="0">
                  <c:v>21</c:v>
                </c:pt>
                <c:pt idx="1">
                  <c:v>24</c:v>
                </c:pt>
                <c:pt idx="2">
                  <c:v>29</c:v>
                </c:pt>
              </c:numCache>
            </c:numRef>
          </c:val>
        </c:ser>
        <c:gapWidth val="219"/>
        <c:overlap val="-26"/>
        <c:axId val="44044038"/>
        <c:axId val="103118"/>
      </c:barChart>
      <c:dateAx>
        <c:axId val="44044038"/>
        <c:scaling>
          <c:orientation val="minMax"/>
        </c:scaling>
        <c:delete val="0"/>
        <c:axPos val="b"/>
        <c:numFmt formatCode="mmm\-yy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1" u="none" strike="noStrike">
                <a:solidFill>
                  <a:srgbClr val="000000"/>
                </a:solidFill>
                <a:uFillTx/>
                <a:latin typeface="Arial"/>
                <a:ea typeface="Arial"/>
              </a:defRPr>
            </a:pPr>
          </a:p>
        </c:txPr>
        <c:crossAx val="103118"/>
        <c:crosses val="autoZero"/>
        <c:auto val="1"/>
        <c:lblOffset val="100"/>
        <c:baseTimeUnit val="months"/>
      </c:dateAx>
      <c:valAx>
        <c:axId val="10311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sz="1000" b="0" u="none" strike="noStrike">
                <a:solidFill>
                  <a:srgbClr val="000000"/>
                </a:solidFill>
                <a:uFillTx/>
                <a:latin typeface="Calibri"/>
                <a:ea typeface="Arial"/>
              </a:defRPr>
            </a:pPr>
          </a:p>
        </c:txPr>
        <c:crossAx val="44044038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noFill/>
    <a:ln w="9360"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autoTitleDeleted val="1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rgbClr val="00344C"/>
            </a:solidFill>
            <a:ln w="12600">
              <a:noFill/>
            </a:ln>
          </c:spPr>
          <c:invertIfNegative val="0"/>
          <c:dLbls>
            <c:numFmt formatCode="0.00%" sourceLinked="0"/>
            <c:txPr>
              <a:bodyPr wrap="square"/>
              <a:lstStyle/>
              <a:p>
                <a:pPr>
                  <a:defRPr sz="900" b="1" u="none" strike="noStrike">
                    <a:solidFill>
                      <a:srgbClr val="000000"/>
                    </a:solidFill>
                    <a:uFillTx/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6"/>
                <c:pt idx="0">
                  <c:v>ÓTIMO</c:v>
                </c:pt>
                <c:pt idx="1">
                  <c:v>BOM</c:v>
                </c:pt>
                <c:pt idx="2">
                  <c:v>REGULAR</c:v>
                </c:pt>
                <c:pt idx="3">
                  <c:v>RUIM</c:v>
                </c:pt>
                <c:pt idx="4">
                  <c:v>Taxa de Satisfação</c:v>
                </c:pt>
                <c:pt idx="5">
                  <c:v>Insatisfação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0.959367945823928</c:v>
                </c:pt>
                <c:pt idx="1">
                  <c:v>0.0274105127378265</c:v>
                </c:pt>
                <c:pt idx="2">
                  <c:v>0.0104804901644631</c:v>
                </c:pt>
                <c:pt idx="3">
                  <c:v>0.00274105127378265</c:v>
                </c:pt>
                <c:pt idx="4">
                  <c:v>0.986778458561754</c:v>
                </c:pt>
                <c:pt idx="5">
                  <c:v>0.0132215414382457</c:v>
                </c:pt>
              </c:numCache>
            </c:numRef>
          </c:val>
        </c:ser>
        <c:gapWidth val="300"/>
        <c:overlap val="0"/>
        <c:axId val="58378580"/>
        <c:axId val="62722493"/>
      </c:barChart>
      <c:catAx>
        <c:axId val="58378580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300" b="0" u="none" strike="noStrike">
                    <a:uFillTx/>
                    <a:latin typeface="Arial"/>
                  </a:defRPr>
                </a:pPr>
                <a:r>
                  <a:rPr lang="pt-BR" sz="1200" b="0" u="none" strike="noStrike">
                    <a:solidFill>
                      <a:schemeClr val="tx1">
                        <a:lumMod val="65000"/>
                        <a:lumOff val="35000"/>
                      </a:schemeClr>
                    </a:solidFill>
                    <a:uFillTx/>
                    <a:latin typeface="Arial"/>
                    <a:ea typeface="Arial"/>
                  </a:rPr>
                  <a:t>Pesquisa de Satisfação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1" u="none" strike="noStrike">
                <a:solidFill>
                  <a:srgbClr val="000000"/>
                </a:solidFill>
                <a:uFillTx/>
                <a:latin typeface="Arial"/>
                <a:ea typeface="Arial"/>
              </a:defRPr>
            </a:pPr>
          </a:p>
        </c:txPr>
        <c:crossAx val="62722493"/>
        <c:crosses val="autoZero"/>
        <c:auto val="1"/>
        <c:lblAlgn val="ctr"/>
        <c:lblOffset val="100"/>
        <c:noMultiLvlLbl val="0"/>
      </c:catAx>
      <c:valAx>
        <c:axId val="62722493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sz="1000" b="0" u="none" strike="noStrike">
                <a:solidFill>
                  <a:srgbClr val="000000"/>
                </a:solidFill>
                <a:uFillTx/>
                <a:latin typeface="Calibri"/>
                <a:ea typeface="Arial"/>
              </a:defRPr>
            </a:pPr>
          </a:p>
        </c:txPr>
        <c:crossAx val="58378580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noFill/>
    <a:ln w="9360"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sz="1300" b="0" u="none" strike="noStrike">
                <a:uFillTx/>
                <a:latin typeface="Arial"/>
              </a:defRPr>
            </a:pPr>
            <a:r>
              <a:rPr lang="pt-BR" sz="1200" b="0" u="none" strike="noStrike">
                <a:solidFill>
                  <a:schemeClr val="bg1">
                    <a:lumMod val="65000"/>
                  </a:schemeClr>
                </a:solidFill>
                <a:uFillTx/>
                <a:latin typeface="Arial"/>
                <a:ea typeface="Arial"/>
              </a:rPr>
              <a:t>Atendimentos por Cidade</a:t>
            </a:r>
          </a:p>
        </c:rich>
      </c:tx>
      <c:layout>
        <c:manualLayout>
          <c:xMode val="edge"/>
          <c:yMode val="edge"/>
          <c:x val="0.338126700349786"/>
          <c:y val="0.919816723940435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305625"/>
          <c:y val="0.087"/>
          <c:w val="0.938875"/>
          <c:h val="0.766888888888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rgbClr val="00344C"/>
            </a:solidFill>
            <a:ln w="1260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sz="900" b="1" u="none" strike="noStrike">
                    <a:solidFill>
                      <a:srgbClr val="000000"/>
                    </a:solidFill>
                    <a:uFillTx/>
                    <a:latin typeface="Calibri"/>
                    <a:ea typeface="Arial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3"/>
                <c:pt idx="0">
                  <c:v>Santa Helena de Goiás</c:v>
                </c:pt>
                <c:pt idx="1">
                  <c:v>Rio Verde</c:v>
                </c:pt>
                <c:pt idx="2">
                  <c:v>Acreúna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654</c:v>
                </c:pt>
                <c:pt idx="1">
                  <c:v>427</c:v>
                </c:pt>
                <c:pt idx="2">
                  <c:v>219</c:v>
                </c:pt>
              </c:numCache>
            </c:numRef>
          </c:val>
        </c:ser>
        <c:gapWidth val="219"/>
        <c:overlap val="-27"/>
        <c:axId val="75108913"/>
        <c:axId val="71991435"/>
      </c:barChart>
      <c:catAx>
        <c:axId val="7510891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1" u="none" strike="noStrike">
                <a:solidFill>
                  <a:srgbClr val="000000"/>
                </a:solidFill>
                <a:uFillTx/>
                <a:latin typeface="Arial"/>
                <a:ea typeface="Arial"/>
              </a:defRPr>
            </a:pPr>
          </a:p>
        </c:txPr>
        <c:crossAx val="71991435"/>
        <c:crosses val="autoZero"/>
        <c:auto val="1"/>
        <c:lblAlgn val="ctr"/>
        <c:lblOffset val="100"/>
        <c:noMultiLvlLbl val="0"/>
      </c:catAx>
      <c:valAx>
        <c:axId val="71991435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sz="1000" b="0" u="none" strike="noStrike">
                <a:solidFill>
                  <a:srgbClr val="000000"/>
                </a:solidFill>
                <a:uFillTx/>
                <a:latin typeface="Calibri"/>
                <a:ea typeface="Arial"/>
              </a:defRPr>
            </a:pPr>
          </a:p>
        </c:txPr>
        <c:crossAx val="75108913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noFill/>
    <a:ln w="9360">
      <a:noFill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0ACC0-21BE-4E4F-AE4C-C46316AE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LibreOffice/26.2.5.1$Windows_X86_64 LibreOffice_project/997786b8bfe5fadf793c1218fed3f515ec806f1b</Application>
  <AppVersion>15.0000</AppVersion>
  <Pages>31</Pages>
  <Words>3577</Words>
  <Characters>20569</Characters>
  <CharactersWithSpaces>23758</CharactersWithSpaces>
  <Paragraphs>488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2026-08-06T19:49:00Z</dcterms:created>
  <dc:creator>Nathan Gabriel Cruz</dc:creator>
  <dc:description/>
  <dc:language>pt-BR</dc:language>
  <cp:lastModifiedBy/>
  <cp:lastPrinted>2026-08-06T19:49:00Z</cp:lastPrinted>
  <dcterms:modified xsi:type="dcterms:W3CDTF">2026-08-10T14:40:15Z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