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86F536">
      <w:pPr>
        <w:spacing w:before="240" w:line="360" w:lineRule="auto"/>
        <w:jc w:val="center"/>
        <w:rPr>
          <w:rFonts w:ascii="Times New Roman" w:hAnsi="Times New Roman" w:cs="Times New Roman"/>
          <w:b/>
          <w:bCs/>
        </w:rPr>
      </w:pPr>
      <w:r>
        <w:rPr>
          <w:rFonts w:ascii="Arial" w:hAnsi="Arial" w:cs="Arial"/>
          <w:b/>
          <w:bCs/>
          <w:color w:val="203864" w:themeColor="accent1" w:themeShade="80"/>
          <w:sz w:val="28"/>
          <w:szCs w:val="28"/>
        </w:rPr>
        <w:drawing>
          <wp:anchor distT="0" distB="0" distL="114300" distR="114300" simplePos="0" relativeHeight="251662336" behindDoc="1" locked="0" layoutInCell="1" allowOverlap="1">
            <wp:simplePos x="0" y="0"/>
            <wp:positionH relativeFrom="column">
              <wp:posOffset>-829310</wp:posOffset>
            </wp:positionH>
            <wp:positionV relativeFrom="paragraph">
              <wp:posOffset>-487680</wp:posOffset>
            </wp:positionV>
            <wp:extent cx="7856855" cy="10629900"/>
            <wp:effectExtent l="0" t="0" r="0" b="0"/>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857039" cy="10629900"/>
                    </a:xfrm>
                    <a:prstGeom prst="rect">
                      <a:avLst/>
                    </a:prstGeom>
                  </pic:spPr>
                </pic:pic>
              </a:graphicData>
            </a:graphic>
          </wp:anchor>
        </w:drawing>
      </w:r>
      <w:r>
        <w:rPr>
          <w:rFonts w:ascii="Times New Roman" w:hAnsi="Times New Roman" w:cs="Times New Roman"/>
          <w:b/>
          <w:bCs/>
        </w:rPr>
        <w:drawing>
          <wp:anchor distT="0" distB="0" distL="114300" distR="114300" simplePos="0" relativeHeight="251659264" behindDoc="0" locked="0" layoutInCell="1" allowOverlap="1">
            <wp:simplePos x="0" y="0"/>
            <wp:positionH relativeFrom="column">
              <wp:posOffset>1017905</wp:posOffset>
            </wp:positionH>
            <wp:positionV relativeFrom="paragraph">
              <wp:posOffset>144780</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Pr>
          <w:rFonts w:ascii="Arial Black" w:hAnsi="Arial Black" w:cs="Arial"/>
          <w:b/>
          <w:bCs/>
          <w:sz w:val="44"/>
          <w:szCs w:val="44"/>
        </w:rPr>
        <w:drawing>
          <wp:anchor distT="0" distB="0" distL="114300" distR="114300" simplePos="0" relativeHeight="251660288" behindDoc="1" locked="0" layoutInCell="1" allowOverlap="1">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64A0D49D">
      <w:pPr>
        <w:spacing w:before="240" w:line="360" w:lineRule="auto"/>
        <w:rPr>
          <w:rFonts w:ascii="Times New Roman" w:hAnsi="Times New Roman" w:cs="Times New Roman"/>
          <w:b/>
          <w:bCs/>
        </w:rPr>
      </w:pPr>
      <w:r>
        <w:rPr>
          <w:rFonts w:ascii="Times New Roman" w:hAnsi="Times New Roman" w:cs="Times New Roman"/>
          <w:b/>
          <w:bCs/>
        </w:rPr>
        <w:br w:type="textWrapping" w:clear="all"/>
      </w:r>
    </w:p>
    <w:p w14:paraId="43CA6F96">
      <w:pPr>
        <w:spacing w:before="240" w:line="360" w:lineRule="auto"/>
        <w:ind w:left="-142"/>
        <w:jc w:val="center"/>
        <w:rPr>
          <w:rFonts w:ascii="Arial" w:hAnsi="Arial" w:cs="Arial"/>
          <w:b/>
          <w:bCs/>
          <w:color w:val="203864" w:themeColor="accent1" w:themeShade="80"/>
          <w:sz w:val="24"/>
          <w:szCs w:val="24"/>
        </w:rPr>
      </w:pPr>
    </w:p>
    <w:p w14:paraId="31EF94B6">
      <w:pPr>
        <w:tabs>
          <w:tab w:val="left" w:pos="3420"/>
        </w:tabs>
        <w:spacing w:before="240" w:line="360" w:lineRule="auto"/>
        <w:ind w:left="-851" w:right="-569"/>
        <w:rPr>
          <w:rFonts w:ascii="Arial" w:hAnsi="Arial" w:cs="Arial"/>
          <w:b/>
          <w:bCs/>
          <w:color w:val="203864" w:themeColor="accent1" w:themeShade="80"/>
          <w:sz w:val="28"/>
          <w:szCs w:val="28"/>
        </w:rPr>
      </w:pPr>
      <w:r>
        <w:rPr>
          <w:rFonts w:ascii="Arial" w:hAnsi="Arial" w:cs="Arial"/>
          <w:b/>
          <w:bCs/>
          <w:color w:val="203864" w:themeColor="accent1" w:themeShade="80"/>
          <w:sz w:val="28"/>
          <w:szCs w:val="28"/>
        </w:rPr>
        <w:tab/>
      </w:r>
    </w:p>
    <w:p w14:paraId="49446D7A">
      <w:pPr>
        <w:spacing w:before="240" w:line="360" w:lineRule="auto"/>
        <w:ind w:left="-851" w:right="-569"/>
        <w:jc w:val="center"/>
        <w:rPr>
          <w:rFonts w:ascii="Arial" w:hAnsi="Arial" w:cs="Arial"/>
          <w:b/>
          <w:bCs/>
          <w:color w:val="203864" w:themeColor="accent1" w:themeShade="80"/>
          <w:sz w:val="40"/>
          <w:szCs w:val="40"/>
        </w:rPr>
      </w:pPr>
      <w:r>
        <w:rPr>
          <w:rFonts w:ascii="Arial" w:hAnsi="Arial" w:cs="Arial"/>
          <w:b/>
          <w:bCs/>
          <w:color w:val="203864" w:themeColor="accent1" w:themeShade="80"/>
          <w:sz w:val="44"/>
          <w:szCs w:val="44"/>
        </w:rPr>
        <w:t>INSTITUTO DE PLANEJAMENTO E GESTÃO DE SERVIÇOS ESPECIALIZADOS</w:t>
      </w:r>
    </w:p>
    <w:p w14:paraId="7EF22F87">
      <w:pPr>
        <w:spacing w:before="240" w:line="360" w:lineRule="auto"/>
        <w:rPr>
          <w:rFonts w:ascii="Times New Roman" w:hAnsi="Times New Roman" w:cs="Times New Roman"/>
          <w:b/>
          <w:bCs/>
        </w:rPr>
      </w:pPr>
    </w:p>
    <w:p w14:paraId="7909FAE2">
      <w:pPr>
        <w:spacing w:before="240" w:line="360" w:lineRule="auto"/>
        <w:rPr>
          <w:rFonts w:ascii="Times New Roman" w:hAnsi="Times New Roman" w:cs="Times New Roman"/>
          <w:b/>
          <w:bCs/>
        </w:rPr>
      </w:pPr>
    </w:p>
    <w:p w14:paraId="0D8138D5">
      <w:pPr>
        <w:spacing w:after="0" w:line="240" w:lineRule="auto"/>
        <w:jc w:val="center"/>
        <w:rPr>
          <w:rFonts w:ascii="Times New Roman" w:hAnsi="Times New Roman" w:cs="Times New Roman"/>
          <w:b/>
          <w:bCs/>
        </w:rPr>
      </w:pPr>
      <w:r>
        <w:rPr>
          <w:rFonts w:ascii="Times New Roman" w:hAnsi="Times New Roman" w:cs="Times New Roman"/>
          <w:b/>
          <w:bCs/>
        </w:rPr>
        <w:tab/>
      </w:r>
    </w:p>
    <w:p w14:paraId="61C6AB30">
      <w:pPr>
        <w:spacing w:after="0" w:line="240" w:lineRule="auto"/>
        <w:jc w:val="center"/>
        <w:rPr>
          <w:rFonts w:ascii="Times New Roman" w:hAnsi="Times New Roman" w:cs="Times New Roman"/>
          <w:b/>
          <w:bCs/>
        </w:rPr>
      </w:pPr>
    </w:p>
    <w:p w14:paraId="72BB0643">
      <w:pPr>
        <w:spacing w:after="0" w:line="240" w:lineRule="auto"/>
        <w:jc w:val="center"/>
        <w:rPr>
          <w:rFonts w:ascii="Times New Roman" w:hAnsi="Times New Roman" w:cs="Times New Roman"/>
          <w:b/>
          <w:bCs/>
        </w:rPr>
      </w:pPr>
    </w:p>
    <w:p w14:paraId="7E8A321A">
      <w:pPr>
        <w:spacing w:after="0" w:line="240" w:lineRule="auto"/>
        <w:jc w:val="center"/>
        <w:rPr>
          <w:rFonts w:ascii="Times New Roman" w:hAnsi="Times New Roman" w:cs="Times New Roman"/>
          <w:b/>
          <w:bCs/>
        </w:rPr>
      </w:pPr>
    </w:p>
    <w:p w14:paraId="2078D33A">
      <w:pPr>
        <w:spacing w:after="0" w:line="240" w:lineRule="auto"/>
        <w:jc w:val="center"/>
        <w:rPr>
          <w:rFonts w:ascii="Times New Roman" w:hAnsi="Times New Roman" w:cs="Times New Roman"/>
          <w:b/>
          <w:bCs/>
        </w:rPr>
      </w:pPr>
    </w:p>
    <w:p w14:paraId="3EBCE786">
      <w:pPr>
        <w:spacing w:after="0" w:line="240" w:lineRule="auto"/>
        <w:jc w:val="center"/>
        <w:rPr>
          <w:rFonts w:ascii="Times New Roman" w:hAnsi="Times New Roman" w:cs="Times New Roman"/>
          <w:b/>
          <w:bCs/>
        </w:rPr>
      </w:pPr>
    </w:p>
    <w:p w14:paraId="69508B9E">
      <w:pPr>
        <w:spacing w:after="0" w:line="240" w:lineRule="auto"/>
        <w:jc w:val="center"/>
        <w:rPr>
          <w:rFonts w:ascii="Times New Roman" w:hAnsi="Times New Roman" w:cs="Times New Roman"/>
          <w:b/>
          <w:bCs/>
        </w:rPr>
      </w:pPr>
    </w:p>
    <w:p w14:paraId="42B49C62">
      <w:pPr>
        <w:spacing w:after="0" w:line="240" w:lineRule="auto"/>
        <w:jc w:val="center"/>
        <w:rPr>
          <w:rFonts w:ascii="Arial Black" w:hAnsi="Arial Black" w:cs="Arial"/>
          <w:b/>
          <w:bCs/>
          <w:sz w:val="44"/>
          <w:szCs w:val="44"/>
        </w:rPr>
      </w:pPr>
    </w:p>
    <w:p w14:paraId="228F22D5">
      <w:pPr>
        <w:spacing w:after="0" w:line="240" w:lineRule="auto"/>
        <w:jc w:val="center"/>
        <w:rPr>
          <w:rFonts w:ascii="Arial Black" w:hAnsi="Arial Black" w:cs="Arial"/>
          <w:b/>
          <w:bCs/>
          <w:sz w:val="48"/>
          <w:szCs w:val="48"/>
        </w:rPr>
      </w:pPr>
    </w:p>
    <w:p w14:paraId="31669ACC">
      <w:pPr>
        <w:spacing w:after="0" w:line="240" w:lineRule="auto"/>
        <w:jc w:val="center"/>
        <w:rPr>
          <w:rFonts w:ascii="Arial Black" w:hAnsi="Arial Black" w:cs="Arial"/>
          <w:b/>
          <w:bCs/>
          <w:sz w:val="56"/>
          <w:szCs w:val="56"/>
        </w:rPr>
      </w:pPr>
      <w:r>
        <w:rPr>
          <w:rFonts w:ascii="Arial Black" w:hAnsi="Arial Black" w:cs="Arial"/>
          <w:b/>
          <w:bCs/>
          <w:sz w:val="56"/>
          <w:szCs w:val="56"/>
        </w:rPr>
        <w:t>RELATÓRIO DE PRODUÇÃO, AÇÕES E ATIVIDADES.</w:t>
      </w:r>
    </w:p>
    <w:p w14:paraId="31CF1E24">
      <w:pPr>
        <w:spacing w:after="0" w:line="240" w:lineRule="auto"/>
        <w:jc w:val="center"/>
        <w:rPr>
          <w:rFonts w:ascii="Arial Black" w:hAnsi="Arial Black" w:cs="Arial"/>
          <w:b/>
          <w:bCs/>
          <w:sz w:val="44"/>
          <w:szCs w:val="44"/>
        </w:rPr>
      </w:pPr>
    </w:p>
    <w:p w14:paraId="7AAFA089">
      <w:pPr>
        <w:spacing w:after="0" w:line="240" w:lineRule="auto"/>
        <w:jc w:val="center"/>
        <w:rPr>
          <w:rFonts w:ascii="Arial Black" w:hAnsi="Arial Black" w:cs="Arial"/>
          <w:b/>
          <w:bCs/>
          <w:sz w:val="44"/>
          <w:szCs w:val="44"/>
        </w:rPr>
      </w:pPr>
    </w:p>
    <w:p w14:paraId="3AFDF890">
      <w:pPr>
        <w:spacing w:after="0" w:line="240" w:lineRule="auto"/>
        <w:jc w:val="center"/>
        <w:rPr>
          <w:rFonts w:ascii="Arial Black" w:hAnsi="Arial Black" w:cs="Arial"/>
          <w:b/>
          <w:bCs/>
          <w:sz w:val="44"/>
          <w:szCs w:val="44"/>
        </w:rPr>
      </w:pPr>
    </w:p>
    <w:p w14:paraId="6D8A000D">
      <w:pPr>
        <w:spacing w:after="0" w:line="240" w:lineRule="auto"/>
        <w:jc w:val="center"/>
        <w:rPr>
          <w:rFonts w:ascii="Arial Black" w:hAnsi="Arial Black" w:cs="Arial"/>
          <w:b/>
          <w:bCs/>
          <w:sz w:val="44"/>
          <w:szCs w:val="44"/>
        </w:rPr>
      </w:pPr>
    </w:p>
    <w:p w14:paraId="1B61C802">
      <w:pPr>
        <w:spacing w:after="0" w:line="240" w:lineRule="auto"/>
        <w:jc w:val="center"/>
        <w:rPr>
          <w:rFonts w:ascii="Arial Black" w:hAnsi="Arial Black" w:cs="Arial"/>
          <w:b/>
          <w:bCs/>
          <w:sz w:val="44"/>
          <w:szCs w:val="44"/>
        </w:rPr>
      </w:pPr>
    </w:p>
    <w:p w14:paraId="19B56901">
      <w:pPr>
        <w:spacing w:before="240" w:after="0" w:line="276" w:lineRule="auto"/>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61312" behindDoc="0" locked="0" layoutInCell="1" allowOverlap="1">
                <wp:simplePos x="0" y="0"/>
                <wp:positionH relativeFrom="column">
                  <wp:posOffset>100330</wp:posOffset>
                </wp:positionH>
                <wp:positionV relativeFrom="paragraph">
                  <wp:posOffset>226695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5" o:spid="_x0000_s1026" o:spt="1" style="position:absolute;left:0pt;margin-left:7.9pt;margin-top:17.85pt;height:36.75pt;width:3.6pt;z-index:251661312;v-text-anchor:middle;mso-width-relative:page;mso-height-relative:page;" fillcolor="#0D0D0D [3069]" filled="t" stroked="t" coordsize="21600,21600" o:gfxdata="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QMGjLX&#10;AAAACAEAAA8AAAAAAAAAAQAgAAAAIgAAAGRycy9kb3ducmV2LnhtbFBLAQIUABQAAAAIAIdO4kBR&#10;zqnykwIAAFgFAAAOAAAAAAAAAAEAIAAAACYBAABkcnMvZTJvRG9jLnhtbFBLBQYAAAAABgAGAFkB&#10;AAArBgAAAAA=&#10;">
                <v:fill on="t" focussize="0,0"/>
                <v:stroke weight="1pt" color="#172C51 [3204]" miterlimit="8" joinstyle="miter"/>
                <v:imagedata o:title=""/>
                <o:lock v:ext="edit" aspectratio="f"/>
              </v:rect>
            </w:pict>
          </mc:Fallback>
        </mc:AlternateContent>
      </w:r>
      <w:r>
        <w:rPr>
          <w:rFonts w:ascii="Times New Roman" w:hAnsi="Times New Roman" w:cs="Times New Roman"/>
          <w:b/>
          <w:bCs/>
          <w:sz w:val="24"/>
          <w:szCs w:val="24"/>
        </w:rPr>
        <w:t>Unidade: Policlínica Estadual da Região Sudoeste Quirinópolis</w:t>
      </w:r>
    </w:p>
    <w:p w14:paraId="5F8A0176">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Período:  </w:t>
      </w:r>
      <w:r>
        <w:rPr>
          <w:rFonts w:hint="default" w:ascii="Times New Roman" w:hAnsi="Times New Roman" w:cs="Times New Roman"/>
          <w:b/>
          <w:bCs/>
          <w:sz w:val="24"/>
          <w:szCs w:val="24"/>
          <w:lang w:val="pt-BR"/>
        </w:rPr>
        <w:t>Maio</w:t>
      </w:r>
      <w:r>
        <w:rPr>
          <w:rFonts w:ascii="Times New Roman" w:hAnsi="Times New Roman" w:cs="Times New Roman"/>
          <w:b/>
          <w:bCs/>
          <w:sz w:val="24"/>
          <w:szCs w:val="24"/>
        </w:rPr>
        <w:t xml:space="preserve"> 2025</w:t>
      </w:r>
    </w:p>
    <w:p w14:paraId="4C66EB4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Contrato de Gestão:093/2024</w:t>
      </w:r>
    </w:p>
    <w:p w14:paraId="40923BC2">
      <w:pPr>
        <w:spacing w:line="360" w:lineRule="auto"/>
        <w:rPr>
          <w:rFonts w:ascii="Times New Roman" w:hAnsi="Times New Roman" w:cs="Times New Roman"/>
          <w:b/>
          <w:bCs/>
        </w:rPr>
      </w:pPr>
      <w:r>
        <w:rPr>
          <w:rFonts w:ascii="Times New Roman" w:hAnsi="Times New Roman" w:cs="Times New Roman"/>
          <w:b/>
          <w:bCs/>
        </w:rPr>
        <w:t xml:space="preserve">                              </w:t>
      </w:r>
    </w:p>
    <w:p w14:paraId="63CD79F4">
      <w:pPr>
        <w:spacing w:line="360" w:lineRule="auto"/>
        <w:rPr>
          <w:rFonts w:ascii="Times New Roman" w:hAnsi="Times New Roman" w:cs="Times New Roman"/>
          <w:b/>
          <w:bCs/>
        </w:rPr>
      </w:pPr>
    </w:p>
    <w:p w14:paraId="3F0BC850">
      <w:pPr>
        <w:spacing w:line="360" w:lineRule="auto"/>
        <w:jc w:val="center"/>
        <w:rPr>
          <w:rFonts w:ascii="Arial" w:hAnsi="Arial" w:cs="Arial"/>
          <w:b/>
          <w:bCs/>
        </w:rPr>
      </w:pPr>
      <w:r>
        <w:rPr>
          <w:rFonts w:ascii="Arial" w:hAnsi="Arial" w:cs="Arial"/>
          <w:b/>
          <w:bCs/>
        </w:rPr>
        <w:t>DIRETORIA ESTATUTÁRIA</w:t>
      </w:r>
    </w:p>
    <w:p w14:paraId="6C2FEE4C">
      <w:pPr>
        <w:spacing w:line="360" w:lineRule="auto"/>
        <w:jc w:val="center"/>
        <w:rPr>
          <w:rFonts w:ascii="Arial" w:hAnsi="Arial" w:cs="Arial"/>
          <w:b/>
          <w:bCs/>
        </w:rPr>
      </w:pPr>
    </w:p>
    <w:p w14:paraId="4F956F00">
      <w:pPr>
        <w:spacing w:line="360" w:lineRule="auto"/>
        <w:jc w:val="center"/>
        <w:rPr>
          <w:rFonts w:ascii="Arial" w:hAnsi="Arial" w:cs="Arial"/>
        </w:rPr>
      </w:pPr>
      <w:r>
        <w:rPr>
          <w:rFonts w:ascii="Arial" w:hAnsi="Arial" w:cs="Arial"/>
        </w:rPr>
        <w:t>Aluísio Parmezani Pancracio – Diretor Presidente</w:t>
      </w:r>
    </w:p>
    <w:p w14:paraId="766608C2">
      <w:pPr>
        <w:spacing w:line="360" w:lineRule="auto"/>
        <w:jc w:val="center"/>
        <w:rPr>
          <w:rFonts w:ascii="Arial" w:hAnsi="Arial" w:cs="Arial"/>
        </w:rPr>
      </w:pPr>
    </w:p>
    <w:p w14:paraId="32D02C17">
      <w:pPr>
        <w:spacing w:line="360" w:lineRule="auto"/>
        <w:jc w:val="center"/>
        <w:rPr>
          <w:rFonts w:ascii="Arial" w:hAnsi="Arial" w:cs="Arial"/>
        </w:rPr>
      </w:pPr>
      <w:r>
        <w:rPr>
          <w:rFonts w:ascii="Arial" w:hAnsi="Arial" w:cs="Arial"/>
        </w:rPr>
        <w:t>Daniel De Albuquerque Pinheiro – Diretor Vice- Presidente</w:t>
      </w:r>
    </w:p>
    <w:p w14:paraId="455844AC">
      <w:pPr>
        <w:spacing w:line="360" w:lineRule="auto"/>
        <w:jc w:val="center"/>
        <w:rPr>
          <w:rFonts w:ascii="Arial" w:hAnsi="Arial" w:cs="Arial"/>
        </w:rPr>
      </w:pPr>
    </w:p>
    <w:p w14:paraId="77384711">
      <w:pPr>
        <w:spacing w:line="360" w:lineRule="auto"/>
        <w:jc w:val="center"/>
        <w:rPr>
          <w:rFonts w:ascii="Arial" w:hAnsi="Arial" w:cs="Arial"/>
        </w:rPr>
      </w:pPr>
      <w:r>
        <w:rPr>
          <w:rFonts w:ascii="Arial" w:hAnsi="Arial" w:cs="Arial"/>
        </w:rPr>
        <w:t>Reinaldo Caetano da Silva – Diretor Executivo</w:t>
      </w:r>
    </w:p>
    <w:p w14:paraId="77FD4B8C">
      <w:pPr>
        <w:spacing w:line="360" w:lineRule="auto"/>
        <w:jc w:val="center"/>
        <w:rPr>
          <w:rFonts w:ascii="Arial" w:hAnsi="Arial" w:cs="Arial"/>
        </w:rPr>
      </w:pPr>
    </w:p>
    <w:p w14:paraId="450B59C7">
      <w:pPr>
        <w:spacing w:line="360" w:lineRule="auto"/>
        <w:jc w:val="center"/>
        <w:rPr>
          <w:rFonts w:ascii="Arial" w:hAnsi="Arial" w:cs="Arial"/>
        </w:rPr>
      </w:pPr>
      <w:r>
        <w:rPr>
          <w:rFonts w:ascii="Arial" w:hAnsi="Arial" w:cs="Arial"/>
        </w:rPr>
        <w:t>Suzy Siqueira de Souza – Diretora Técnica</w:t>
      </w:r>
    </w:p>
    <w:p w14:paraId="04E09820">
      <w:pPr>
        <w:spacing w:line="360" w:lineRule="auto"/>
        <w:jc w:val="center"/>
        <w:rPr>
          <w:rFonts w:ascii="Arial" w:hAnsi="Arial" w:cs="Arial"/>
        </w:rPr>
      </w:pPr>
    </w:p>
    <w:p w14:paraId="5F7FF1D8">
      <w:pPr>
        <w:spacing w:line="360" w:lineRule="auto"/>
        <w:jc w:val="center"/>
        <w:rPr>
          <w:rFonts w:ascii="Arial" w:hAnsi="Arial" w:cs="Arial"/>
        </w:rPr>
      </w:pPr>
      <w:r>
        <w:rPr>
          <w:rFonts w:ascii="Arial" w:hAnsi="Arial" w:cs="Arial"/>
        </w:rPr>
        <w:t>Henrique Hiroto Naoe – Diretor Administrativo</w:t>
      </w:r>
    </w:p>
    <w:p w14:paraId="63C10027">
      <w:pPr>
        <w:spacing w:line="360" w:lineRule="auto"/>
        <w:jc w:val="center"/>
        <w:rPr>
          <w:rFonts w:ascii="Arial" w:hAnsi="Arial" w:cs="Arial"/>
        </w:rPr>
      </w:pPr>
    </w:p>
    <w:p w14:paraId="4A6DE168">
      <w:pPr>
        <w:spacing w:line="360" w:lineRule="auto"/>
        <w:jc w:val="center"/>
        <w:rPr>
          <w:rFonts w:ascii="Arial" w:hAnsi="Arial" w:cs="Arial"/>
        </w:rPr>
      </w:pPr>
      <w:r>
        <w:rPr>
          <w:rFonts w:ascii="Arial" w:hAnsi="Arial" w:cs="Arial"/>
        </w:rPr>
        <w:t>Heliar Celso Milani – Diretor Financeiro</w:t>
      </w:r>
    </w:p>
    <w:p w14:paraId="2840D2A9">
      <w:pPr>
        <w:spacing w:line="360" w:lineRule="auto"/>
        <w:jc w:val="center"/>
        <w:rPr>
          <w:rFonts w:ascii="Arial" w:hAnsi="Arial" w:cs="Arial"/>
        </w:rPr>
      </w:pPr>
    </w:p>
    <w:p w14:paraId="746D28DF">
      <w:pPr>
        <w:spacing w:line="360" w:lineRule="auto"/>
        <w:jc w:val="center"/>
        <w:rPr>
          <w:rFonts w:ascii="Arial" w:hAnsi="Arial" w:cs="Arial"/>
        </w:rPr>
      </w:pPr>
      <w:r>
        <w:rPr>
          <w:rFonts w:ascii="Arial" w:hAnsi="Arial" w:cs="Arial"/>
        </w:rPr>
        <w:t>Janquiel José Marodin – Diretor de Relações Institucionais</w:t>
      </w:r>
    </w:p>
    <w:p w14:paraId="276FA6BF">
      <w:pPr>
        <w:spacing w:line="360" w:lineRule="auto"/>
        <w:jc w:val="center"/>
        <w:rPr>
          <w:rFonts w:ascii="Arial" w:hAnsi="Arial" w:cs="Arial"/>
        </w:rPr>
      </w:pPr>
    </w:p>
    <w:p w14:paraId="44616535">
      <w:pPr>
        <w:spacing w:line="360" w:lineRule="auto"/>
        <w:jc w:val="center"/>
        <w:rPr>
          <w:rFonts w:ascii="Arial" w:hAnsi="Arial" w:cs="Arial"/>
        </w:rPr>
      </w:pPr>
      <w:r>
        <w:rPr>
          <w:rFonts w:ascii="Arial" w:hAnsi="Arial" w:cs="Arial"/>
        </w:rPr>
        <w:t>Benjamin José Pinto de Oliveira – Diretor de Desenvolvimento Organizacional</w:t>
      </w:r>
    </w:p>
    <w:p w14:paraId="22BC00AA">
      <w:pPr>
        <w:spacing w:line="360" w:lineRule="auto"/>
        <w:jc w:val="center"/>
        <w:rPr>
          <w:rFonts w:ascii="Arial" w:hAnsi="Arial" w:cs="Arial"/>
        </w:rPr>
      </w:pPr>
    </w:p>
    <w:p w14:paraId="6CC3982F">
      <w:pPr>
        <w:spacing w:before="240" w:line="360" w:lineRule="auto"/>
        <w:jc w:val="center"/>
        <w:rPr>
          <w:rFonts w:ascii="Arial" w:hAnsi="Arial" w:cs="Arial"/>
          <w:b/>
          <w:bCs/>
        </w:rPr>
      </w:pPr>
    </w:p>
    <w:p w14:paraId="4DC82123">
      <w:pPr>
        <w:spacing w:before="240" w:line="360" w:lineRule="auto"/>
        <w:jc w:val="center"/>
        <w:rPr>
          <w:rFonts w:ascii="Arial" w:hAnsi="Arial" w:cs="Arial"/>
          <w:b/>
          <w:bCs/>
        </w:rPr>
      </w:pPr>
      <w:r>
        <w:rPr>
          <w:rFonts w:ascii="Arial" w:hAnsi="Arial" w:cs="Arial"/>
          <w:b/>
          <w:bCs/>
        </w:rPr>
        <w:t>CONSELHO DE ADMINISTRAÇÃO</w:t>
      </w:r>
    </w:p>
    <w:p w14:paraId="002D23CD">
      <w:pPr>
        <w:spacing w:before="240" w:line="360" w:lineRule="auto"/>
        <w:jc w:val="center"/>
        <w:rPr>
          <w:rFonts w:ascii="Arial" w:hAnsi="Arial" w:cs="Arial"/>
        </w:rPr>
      </w:pPr>
      <w:r>
        <w:rPr>
          <w:rFonts w:ascii="Arial" w:hAnsi="Arial" w:cs="Arial"/>
        </w:rPr>
        <w:t>Luiz Egídio Galetti – Presidente do Conselho</w:t>
      </w:r>
    </w:p>
    <w:p w14:paraId="5EC32CEA">
      <w:pPr>
        <w:spacing w:before="240" w:line="360" w:lineRule="auto"/>
        <w:jc w:val="center"/>
        <w:rPr>
          <w:rFonts w:ascii="Arial" w:hAnsi="Arial" w:cs="Arial"/>
        </w:rPr>
      </w:pPr>
      <w:r>
        <w:rPr>
          <w:rFonts w:ascii="Arial" w:hAnsi="Arial" w:cs="Arial"/>
        </w:rPr>
        <w:t>Carlos Alberto Brands – Membro do Conselho</w:t>
      </w:r>
    </w:p>
    <w:p w14:paraId="009EE4C1">
      <w:pPr>
        <w:spacing w:before="240" w:line="360" w:lineRule="auto"/>
        <w:jc w:val="center"/>
        <w:rPr>
          <w:rFonts w:ascii="Arial" w:hAnsi="Arial" w:cs="Arial"/>
        </w:rPr>
      </w:pPr>
      <w:r>
        <w:rPr>
          <w:rFonts w:ascii="Arial" w:hAnsi="Arial" w:cs="Arial"/>
        </w:rPr>
        <w:t>Eduardo Ferreira Fernandes – Membro do Conselho</w:t>
      </w:r>
    </w:p>
    <w:p w14:paraId="6ABA7682">
      <w:pPr>
        <w:spacing w:before="240" w:line="360" w:lineRule="auto"/>
        <w:jc w:val="center"/>
        <w:rPr>
          <w:rFonts w:ascii="Arial" w:hAnsi="Arial" w:cs="Arial"/>
        </w:rPr>
      </w:pPr>
      <w:r>
        <w:rPr>
          <w:rFonts w:ascii="Arial" w:hAnsi="Arial" w:cs="Arial"/>
        </w:rPr>
        <w:t>Marcelo José Ataídes – Membro do Conselho</w:t>
      </w:r>
    </w:p>
    <w:p w14:paraId="0E61547D">
      <w:pPr>
        <w:spacing w:before="240" w:line="360" w:lineRule="auto"/>
        <w:jc w:val="center"/>
        <w:rPr>
          <w:rFonts w:ascii="Arial" w:hAnsi="Arial" w:cs="Arial"/>
        </w:rPr>
      </w:pPr>
      <w:r>
        <w:rPr>
          <w:rFonts w:ascii="Arial" w:hAnsi="Arial" w:cs="Arial"/>
        </w:rPr>
        <w:t>Ricardo Bonacin Pires – Membro do Conselho</w:t>
      </w:r>
    </w:p>
    <w:p w14:paraId="46F2F6A2">
      <w:pPr>
        <w:spacing w:before="240" w:line="360" w:lineRule="auto"/>
        <w:jc w:val="center"/>
        <w:rPr>
          <w:rFonts w:ascii="Arial" w:hAnsi="Arial" w:cs="Arial"/>
        </w:rPr>
      </w:pPr>
      <w:r>
        <w:rPr>
          <w:rFonts w:ascii="Arial" w:hAnsi="Arial" w:cs="Arial"/>
        </w:rPr>
        <w:t>Adenilton dos Santos Silva – Membro do Conselho</w:t>
      </w:r>
    </w:p>
    <w:p w14:paraId="12D14871">
      <w:pPr>
        <w:spacing w:before="240" w:line="360" w:lineRule="auto"/>
        <w:jc w:val="center"/>
        <w:rPr>
          <w:rFonts w:ascii="Arial" w:hAnsi="Arial" w:cs="Arial"/>
        </w:rPr>
      </w:pPr>
      <w:r>
        <w:rPr>
          <w:rFonts w:hint="default" w:ascii="Arial" w:hAnsi="Arial" w:cs="Arial"/>
          <w:lang w:val="pt-BR"/>
        </w:rPr>
        <w:t xml:space="preserve">Diogenes Alves Nascimento </w:t>
      </w:r>
      <w:r>
        <w:rPr>
          <w:rFonts w:ascii="Arial" w:hAnsi="Arial" w:cs="Arial"/>
        </w:rPr>
        <w:t xml:space="preserve"> – Membro do Conselho</w:t>
      </w:r>
    </w:p>
    <w:p w14:paraId="676C31F3">
      <w:pPr>
        <w:spacing w:before="240" w:line="360" w:lineRule="auto"/>
        <w:jc w:val="center"/>
        <w:rPr>
          <w:rFonts w:ascii="Arial" w:hAnsi="Arial" w:cs="Arial"/>
        </w:rPr>
      </w:pPr>
    </w:p>
    <w:p w14:paraId="422F005F">
      <w:pPr>
        <w:spacing w:before="240" w:line="360" w:lineRule="auto"/>
        <w:jc w:val="center"/>
        <w:rPr>
          <w:rFonts w:ascii="Arial" w:hAnsi="Arial" w:cs="Arial"/>
          <w:b/>
          <w:bCs/>
        </w:rPr>
      </w:pPr>
      <w:r>
        <w:rPr>
          <w:rFonts w:ascii="Arial" w:hAnsi="Arial" w:cs="Arial"/>
          <w:b/>
          <w:bCs/>
        </w:rPr>
        <w:t>CONSELHO FISCAL</w:t>
      </w:r>
    </w:p>
    <w:p w14:paraId="5885305F">
      <w:pPr>
        <w:spacing w:before="240" w:line="360" w:lineRule="auto"/>
        <w:jc w:val="center"/>
        <w:rPr>
          <w:rFonts w:ascii="Arial" w:hAnsi="Arial" w:cs="Arial"/>
        </w:rPr>
      </w:pPr>
      <w:r>
        <w:rPr>
          <w:rFonts w:ascii="Arial" w:hAnsi="Arial" w:cs="Arial"/>
        </w:rPr>
        <w:t>Edson Alves da Silva – Membro titular</w:t>
      </w:r>
    </w:p>
    <w:p w14:paraId="089D8C80">
      <w:pPr>
        <w:spacing w:before="240" w:line="360" w:lineRule="auto"/>
        <w:jc w:val="center"/>
        <w:rPr>
          <w:rFonts w:ascii="Arial" w:hAnsi="Arial" w:cs="Arial"/>
        </w:rPr>
      </w:pPr>
      <w:r>
        <w:rPr>
          <w:rFonts w:ascii="Arial" w:hAnsi="Arial" w:cs="Arial"/>
        </w:rPr>
        <w:t>Cleiber de Fátima Ferreira Lima Gonçalves – Membro titular</w:t>
      </w:r>
    </w:p>
    <w:p w14:paraId="1F23B1C4">
      <w:pPr>
        <w:spacing w:before="240" w:line="360" w:lineRule="auto"/>
        <w:jc w:val="center"/>
        <w:rPr>
          <w:rFonts w:ascii="Arial" w:hAnsi="Arial" w:cs="Arial"/>
        </w:rPr>
      </w:pPr>
      <w:r>
        <w:rPr>
          <w:rFonts w:ascii="Arial" w:hAnsi="Arial" w:cs="Arial"/>
        </w:rPr>
        <w:t>Ana Rosa Bueno – Membro titular</w:t>
      </w:r>
    </w:p>
    <w:p w14:paraId="37676693">
      <w:pPr>
        <w:spacing w:before="240" w:line="360" w:lineRule="auto"/>
        <w:jc w:val="center"/>
        <w:rPr>
          <w:rFonts w:ascii="Arial" w:hAnsi="Arial" w:cs="Arial"/>
        </w:rPr>
      </w:pPr>
      <w:r>
        <w:rPr>
          <w:rFonts w:ascii="Arial" w:hAnsi="Arial" w:cs="Arial"/>
        </w:rPr>
        <w:t>Fabrício Gonçalves Teixeira – Membro suplente</w:t>
      </w:r>
    </w:p>
    <w:p w14:paraId="14D6DBFD">
      <w:pPr>
        <w:spacing w:before="240" w:line="360" w:lineRule="auto"/>
        <w:jc w:val="center"/>
        <w:rPr>
          <w:rFonts w:ascii="Arial" w:hAnsi="Arial" w:cs="Arial"/>
        </w:rPr>
      </w:pPr>
      <w:r>
        <w:rPr>
          <w:rFonts w:ascii="Arial" w:hAnsi="Arial" w:cs="Arial"/>
        </w:rPr>
        <w:t>Adalberto José da Silva – Membro suplente</w:t>
      </w:r>
    </w:p>
    <w:p w14:paraId="540F8CF8">
      <w:pPr>
        <w:spacing w:before="240" w:line="360" w:lineRule="auto"/>
        <w:jc w:val="center"/>
        <w:rPr>
          <w:rFonts w:ascii="Arial" w:hAnsi="Arial" w:cs="Arial"/>
        </w:rPr>
      </w:pPr>
      <w:r>
        <w:rPr>
          <w:rFonts w:ascii="Arial" w:hAnsi="Arial" w:cs="Arial"/>
        </w:rPr>
        <w:t>Ari Elias Silva Júnior – Membro suplente</w:t>
      </w:r>
    </w:p>
    <w:p w14:paraId="7F69B2F2">
      <w:pPr>
        <w:spacing w:before="240" w:line="360" w:lineRule="auto"/>
        <w:jc w:val="center"/>
        <w:rPr>
          <w:rFonts w:ascii="Arial" w:hAnsi="Arial" w:cs="Arial"/>
        </w:rPr>
      </w:pPr>
    </w:p>
    <w:p w14:paraId="70B0C276">
      <w:pPr>
        <w:spacing w:before="240" w:line="360" w:lineRule="auto"/>
        <w:jc w:val="center"/>
        <w:rPr>
          <w:rFonts w:ascii="Arial" w:hAnsi="Arial" w:cs="Arial"/>
        </w:rPr>
      </w:pPr>
    </w:p>
    <w:p w14:paraId="2B83CE99">
      <w:pPr>
        <w:spacing w:line="360" w:lineRule="auto"/>
        <w:jc w:val="center"/>
        <w:rPr>
          <w:rFonts w:ascii="Arial" w:hAnsi="Arial" w:cs="Arial"/>
          <w:b/>
          <w:bCs/>
        </w:rPr>
      </w:pPr>
    </w:p>
    <w:p w14:paraId="0ED9092A">
      <w:pPr>
        <w:spacing w:line="360" w:lineRule="auto"/>
        <w:jc w:val="center"/>
        <w:rPr>
          <w:rFonts w:ascii="Arial" w:hAnsi="Arial" w:cs="Arial"/>
          <w:b/>
          <w:bCs/>
        </w:rPr>
      </w:pPr>
      <w:r>
        <w:rPr>
          <w:rFonts w:ascii="Arial" w:hAnsi="Arial" w:cs="Arial"/>
          <w:b/>
          <w:bCs/>
        </w:rPr>
        <w:t>COMPOSIÇÃO DA DIRETORIA – UNIDADE GERIDA:</w:t>
      </w:r>
    </w:p>
    <w:p w14:paraId="2DCA85E3">
      <w:pPr>
        <w:spacing w:line="360" w:lineRule="auto"/>
        <w:jc w:val="center"/>
        <w:rPr>
          <w:rFonts w:ascii="Arial" w:hAnsi="Arial" w:cs="Arial"/>
          <w:b/>
          <w:bCs/>
        </w:rPr>
      </w:pPr>
      <w:r>
        <w:rPr>
          <w:rFonts w:ascii="Arial" w:hAnsi="Arial" w:cs="Arial"/>
          <w:b/>
          <w:bCs/>
        </w:rPr>
        <w:t xml:space="preserve">POLICLÍNICA ESTADUAL DA REGIÃO SUDOESTE QUIRINÓPOLIS </w:t>
      </w:r>
    </w:p>
    <w:p w14:paraId="1FCE5CF9">
      <w:pPr>
        <w:spacing w:line="360" w:lineRule="auto"/>
        <w:ind w:left="0" w:leftChars="0" w:firstLine="0" w:firstLineChars="0"/>
        <w:jc w:val="both"/>
        <w:rPr>
          <w:rFonts w:ascii="Arial" w:hAnsi="Arial" w:cs="Arial"/>
        </w:rPr>
      </w:pPr>
    </w:p>
    <w:p w14:paraId="543765AF">
      <w:pPr>
        <w:spacing w:line="360" w:lineRule="auto"/>
        <w:ind w:left="0" w:leftChars="0" w:firstLine="0" w:firstLineChars="0"/>
        <w:jc w:val="both"/>
        <w:rPr>
          <w:rFonts w:ascii="Arial" w:hAnsi="Arial" w:cs="Arial"/>
        </w:rPr>
      </w:pPr>
    </w:p>
    <w:p w14:paraId="60CB4978">
      <w:pPr>
        <w:spacing w:line="360" w:lineRule="auto"/>
        <w:jc w:val="center"/>
        <w:rPr>
          <w:rFonts w:ascii="Arial" w:hAnsi="Arial" w:cs="Arial"/>
        </w:rPr>
      </w:pPr>
      <w:r>
        <w:rPr>
          <w:rFonts w:ascii="Arial" w:hAnsi="Arial" w:cs="Arial"/>
        </w:rPr>
        <w:t xml:space="preserve">Ricardo Martins Sousa – Diretor Administrativo; </w:t>
      </w:r>
    </w:p>
    <w:p w14:paraId="5C1F76BB">
      <w:pPr>
        <w:spacing w:line="360" w:lineRule="auto"/>
        <w:jc w:val="center"/>
        <w:rPr>
          <w:rFonts w:ascii="Arial" w:hAnsi="Arial" w:cs="Arial"/>
        </w:rPr>
      </w:pPr>
    </w:p>
    <w:p w14:paraId="146D4621">
      <w:pPr>
        <w:spacing w:line="360" w:lineRule="auto"/>
        <w:jc w:val="center"/>
        <w:rPr>
          <w:rFonts w:ascii="Arial" w:hAnsi="Arial" w:cs="Arial"/>
        </w:rPr>
      </w:pPr>
      <w:r>
        <w:rPr>
          <w:rFonts w:ascii="Arial" w:hAnsi="Arial" w:cs="Arial"/>
        </w:rPr>
        <w:t xml:space="preserve">Lorena Narla de Oliveira Arantes – Gestora da Linha do Cuidado Multiprofissional; </w:t>
      </w:r>
    </w:p>
    <w:p w14:paraId="10C786B5">
      <w:pPr>
        <w:spacing w:line="360" w:lineRule="auto"/>
        <w:jc w:val="center"/>
        <w:rPr>
          <w:rFonts w:ascii="Arial" w:hAnsi="Arial" w:cs="Arial"/>
        </w:rPr>
      </w:pPr>
    </w:p>
    <w:p w14:paraId="39991E70">
      <w:pPr>
        <w:spacing w:line="360" w:lineRule="auto"/>
        <w:jc w:val="center"/>
        <w:rPr>
          <w:rFonts w:ascii="Arial" w:hAnsi="Arial" w:cs="Arial"/>
        </w:rPr>
      </w:pPr>
      <w:r>
        <w:rPr>
          <w:rFonts w:ascii="Arial" w:hAnsi="Arial" w:cs="Arial"/>
        </w:rPr>
        <w:t>Valéria Borges da Silva – Coordenadora de Enfermagem;</w:t>
      </w:r>
    </w:p>
    <w:p w14:paraId="688E23EB">
      <w:pPr>
        <w:spacing w:line="360" w:lineRule="auto"/>
        <w:jc w:val="center"/>
        <w:rPr>
          <w:rFonts w:ascii="Arial" w:hAnsi="Arial" w:cs="Arial"/>
        </w:rPr>
      </w:pPr>
    </w:p>
    <w:p w14:paraId="0B684524">
      <w:pPr>
        <w:spacing w:line="360" w:lineRule="auto"/>
        <w:jc w:val="center"/>
        <w:rPr>
          <w:rFonts w:ascii="Arial" w:hAnsi="Arial" w:cs="Arial"/>
        </w:rPr>
      </w:pPr>
      <w:r>
        <w:rPr>
          <w:rFonts w:ascii="Arial" w:hAnsi="Arial" w:cs="Arial"/>
        </w:rPr>
        <w:t xml:space="preserve">Wilton Pereira dos Santos – Diretor Técnico; </w:t>
      </w:r>
    </w:p>
    <w:p w14:paraId="2426501A">
      <w:pPr>
        <w:spacing w:line="360" w:lineRule="auto"/>
        <w:jc w:val="center"/>
        <w:rPr>
          <w:rFonts w:ascii="Arial" w:hAnsi="Arial" w:cs="Arial"/>
        </w:rPr>
      </w:pPr>
    </w:p>
    <w:p w14:paraId="07F21559">
      <w:pPr>
        <w:spacing w:line="360" w:lineRule="auto"/>
        <w:rPr>
          <w:rFonts w:ascii="Arial" w:hAnsi="Arial" w:cs="Arial"/>
        </w:rPr>
      </w:pPr>
    </w:p>
    <w:p w14:paraId="7BC0AB44">
      <w:pPr>
        <w:rPr>
          <w:rFonts w:ascii="Arial" w:hAnsi="Arial" w:cs="Arial"/>
        </w:rPr>
      </w:pPr>
      <w:r>
        <w:rPr>
          <w:rFonts w:ascii="Arial" w:hAnsi="Arial" w:cs="Arial"/>
        </w:rPr>
        <w:br w:type="page"/>
      </w:r>
    </w:p>
    <w:sdt>
      <w:sdtPr>
        <w:rPr>
          <w:rFonts w:asciiTheme="minorHAnsi" w:hAnsiTheme="minorHAnsi" w:eastAsiaTheme="minorHAnsi" w:cstheme="minorBidi"/>
          <w:color w:val="auto"/>
          <w:sz w:val="22"/>
          <w:szCs w:val="22"/>
          <w:lang w:eastAsia="en-US"/>
        </w:rPr>
        <w:id w:val="-1186198335"/>
        <w:docPartObj>
          <w:docPartGallery w:val="Table of Contents"/>
          <w:docPartUnique/>
        </w:docPartObj>
      </w:sdtPr>
      <w:sdtEndPr>
        <w:rPr>
          <w:rFonts w:asciiTheme="minorHAnsi" w:hAnsiTheme="minorHAnsi" w:eastAsiaTheme="minorHAnsi" w:cstheme="minorBidi"/>
          <w:b/>
          <w:bCs/>
          <w:color w:val="auto"/>
          <w:sz w:val="22"/>
          <w:szCs w:val="22"/>
          <w:lang w:eastAsia="en-US"/>
        </w:rPr>
      </w:sdtEndPr>
      <w:sdtContent>
        <w:p w14:paraId="5A8A2647">
          <w:pPr>
            <w:pStyle w:val="71"/>
            <w:jc w:val="center"/>
          </w:pPr>
          <w:r>
            <w:t>Sumário</w:t>
          </w:r>
        </w:p>
        <w:p w14:paraId="1A925F4E">
          <w:pPr>
            <w:rPr>
              <w:lang w:eastAsia="pt-BR"/>
            </w:rPr>
          </w:pPr>
        </w:p>
        <w:p w14:paraId="740375E7">
          <w:pPr>
            <w:pStyle w:val="14"/>
            <w:rPr>
              <w:rFonts w:eastAsiaTheme="minorEastAsia"/>
              <w:kern w:val="2"/>
              <w:sz w:val="24"/>
              <w:szCs w:val="24"/>
              <w:lang w:eastAsia="pt-BR"/>
              <w14:ligatures w14:val="standardContextual"/>
            </w:rPr>
          </w:pPr>
          <w:r>
            <w:fldChar w:fldCharType="begin"/>
          </w:r>
          <w:r>
            <w:instrText xml:space="preserve"> TOC \o "1-3" \h \z \u </w:instrText>
          </w:r>
          <w:r>
            <w:fldChar w:fldCharType="separate"/>
          </w:r>
          <w:r>
            <w:fldChar w:fldCharType="begin"/>
          </w:r>
          <w:r>
            <w:instrText xml:space="preserve"> HYPERLINK \l "_Toc192161418" </w:instrText>
          </w:r>
          <w:r>
            <w:fldChar w:fldCharType="separate"/>
          </w:r>
          <w:r>
            <w:rPr>
              <w:rStyle w:val="13"/>
              <w:rFonts w:ascii="Arial" w:hAnsi="Arial" w:cs="Arial"/>
              <w:b/>
              <w:bCs/>
              <w:shd w:val="clear" w:color="auto" w:fill="FFFFFF"/>
            </w:rPr>
            <w:t>APRESENTAÇÃO</w:t>
          </w:r>
          <w:r>
            <w:tab/>
          </w:r>
          <w:r>
            <w:fldChar w:fldCharType="begin"/>
          </w:r>
          <w:r>
            <w:instrText xml:space="preserve"> PAGEREF _Toc192161418 \h </w:instrText>
          </w:r>
          <w:r>
            <w:fldChar w:fldCharType="separate"/>
          </w:r>
          <w:r>
            <w:t>5</w:t>
          </w:r>
          <w:r>
            <w:fldChar w:fldCharType="end"/>
          </w:r>
          <w:r>
            <w:fldChar w:fldCharType="end"/>
          </w:r>
        </w:p>
        <w:p w14:paraId="43CF1ED2">
          <w:pPr>
            <w:pStyle w:val="14"/>
            <w:rPr>
              <w:rFonts w:eastAsiaTheme="minorEastAsia"/>
              <w:kern w:val="2"/>
              <w:sz w:val="24"/>
              <w:szCs w:val="24"/>
              <w:lang w:eastAsia="pt-BR"/>
              <w14:ligatures w14:val="standardContextual"/>
            </w:rPr>
          </w:pPr>
          <w:r>
            <w:fldChar w:fldCharType="begin"/>
          </w:r>
          <w:r>
            <w:instrText xml:space="preserve"> HYPERLINK \l "_Toc192161419" </w:instrText>
          </w:r>
          <w:r>
            <w:fldChar w:fldCharType="separate"/>
          </w:r>
          <w:r>
            <w:rPr>
              <w:rStyle w:val="13"/>
              <w:rFonts w:ascii="Arial" w:hAnsi="Arial" w:cs="Arial"/>
              <w:b/>
              <w:bCs/>
              <w:shd w:val="clear" w:color="auto" w:fill="FFFFFF"/>
            </w:rPr>
            <w:t>IDENTIFICAÇÃO DA UNIDADE</w:t>
          </w:r>
          <w:r>
            <w:tab/>
          </w:r>
          <w:r>
            <w:fldChar w:fldCharType="begin"/>
          </w:r>
          <w:r>
            <w:instrText xml:space="preserve"> PAGEREF _Toc192161419 \h </w:instrText>
          </w:r>
          <w:r>
            <w:fldChar w:fldCharType="separate"/>
          </w:r>
          <w:r>
            <w:t>6</w:t>
          </w:r>
          <w:r>
            <w:fldChar w:fldCharType="end"/>
          </w:r>
          <w:r>
            <w:fldChar w:fldCharType="end"/>
          </w:r>
        </w:p>
        <w:p w14:paraId="7BDE3A86">
          <w:pPr>
            <w:pStyle w:val="14"/>
            <w:rPr>
              <w:rFonts w:eastAsiaTheme="minorEastAsia"/>
              <w:kern w:val="2"/>
              <w:sz w:val="24"/>
              <w:szCs w:val="24"/>
              <w:lang w:eastAsia="pt-BR"/>
              <w14:ligatures w14:val="standardContextual"/>
            </w:rPr>
          </w:pPr>
          <w:r>
            <w:fldChar w:fldCharType="begin"/>
          </w:r>
          <w:r>
            <w:instrText xml:space="preserve"> HYPERLINK \l "_Toc192161420" </w:instrText>
          </w:r>
          <w:r>
            <w:fldChar w:fldCharType="separate"/>
          </w:r>
          <w:r>
            <w:rPr>
              <w:rStyle w:val="13"/>
              <w:rFonts w:ascii="Arial" w:hAnsi="Arial" w:cs="Arial"/>
              <w:b/>
              <w:bCs/>
              <w:shd w:val="clear" w:color="auto" w:fill="FFFFFF"/>
            </w:rPr>
            <w:t>MELHORIAS</w:t>
          </w:r>
          <w:r>
            <w:tab/>
          </w:r>
          <w:r>
            <w:fldChar w:fldCharType="begin"/>
          </w:r>
          <w:r>
            <w:instrText xml:space="preserve"> PAGEREF _Toc192161420 \h </w:instrText>
          </w:r>
          <w:r>
            <w:fldChar w:fldCharType="separate"/>
          </w:r>
          <w:r>
            <w:t>7</w:t>
          </w:r>
          <w:r>
            <w:fldChar w:fldCharType="end"/>
          </w:r>
          <w:r>
            <w:fldChar w:fldCharType="end"/>
          </w:r>
        </w:p>
        <w:p w14:paraId="17781786">
          <w:pPr>
            <w:pStyle w:val="14"/>
            <w:rPr>
              <w:rFonts w:eastAsiaTheme="minorEastAsia"/>
              <w:kern w:val="2"/>
              <w:sz w:val="24"/>
              <w:szCs w:val="24"/>
              <w:lang w:eastAsia="pt-BR"/>
              <w14:ligatures w14:val="standardContextual"/>
            </w:rPr>
          </w:pPr>
          <w:r>
            <w:fldChar w:fldCharType="begin"/>
          </w:r>
          <w:r>
            <w:instrText xml:space="preserve"> HYPERLINK \l "_Toc192161421" </w:instrText>
          </w:r>
          <w:r>
            <w:fldChar w:fldCharType="separate"/>
          </w:r>
          <w:r>
            <w:rPr>
              <w:rStyle w:val="13"/>
              <w:rFonts w:ascii="Arial" w:hAnsi="Arial" w:cs="Arial"/>
              <w:b/>
              <w:bCs/>
              <w:shd w:val="clear" w:color="auto" w:fill="FFFFFF"/>
            </w:rPr>
            <w:t>ATIVIDADES REALIZADAS</w:t>
          </w:r>
          <w:r>
            <w:tab/>
          </w:r>
          <w:r>
            <w:fldChar w:fldCharType="begin"/>
          </w:r>
          <w:r>
            <w:instrText xml:space="preserve"> PAGEREF _Toc192161421 \h </w:instrText>
          </w:r>
          <w:r>
            <w:fldChar w:fldCharType="separate"/>
          </w:r>
          <w:r>
            <w:t>8</w:t>
          </w:r>
          <w:r>
            <w:fldChar w:fldCharType="end"/>
          </w:r>
          <w:r>
            <w:fldChar w:fldCharType="end"/>
          </w:r>
        </w:p>
        <w:p w14:paraId="752B386F">
          <w:pPr>
            <w:pStyle w:val="14"/>
            <w:rPr>
              <w:rFonts w:eastAsiaTheme="minorEastAsia"/>
              <w:kern w:val="2"/>
              <w:sz w:val="24"/>
              <w:szCs w:val="24"/>
              <w:lang w:eastAsia="pt-BR"/>
              <w14:ligatures w14:val="standardContextual"/>
            </w:rPr>
          </w:pPr>
          <w:r>
            <w:fldChar w:fldCharType="begin"/>
          </w:r>
          <w:r>
            <w:instrText xml:space="preserve"> HYPERLINK \l "_Toc192161422" </w:instrText>
          </w:r>
          <w:r>
            <w:fldChar w:fldCharType="separate"/>
          </w:r>
          <w:r>
            <w:rPr>
              <w:rStyle w:val="13"/>
              <w:rFonts w:ascii="Arial" w:hAnsi="Arial" w:cs="Arial"/>
              <w:b/>
              <w:bCs/>
            </w:rPr>
            <w:t>1.Núcleo De Segurança do Paciente - NSP</w:t>
          </w:r>
          <w:r>
            <w:tab/>
          </w:r>
          <w:r>
            <w:fldChar w:fldCharType="begin"/>
          </w:r>
          <w:r>
            <w:instrText xml:space="preserve"> PAGEREF _Toc192161422 \h </w:instrText>
          </w:r>
          <w:r>
            <w:fldChar w:fldCharType="separate"/>
          </w:r>
          <w:r>
            <w:t>9</w:t>
          </w:r>
          <w:r>
            <w:fldChar w:fldCharType="end"/>
          </w:r>
          <w:r>
            <w:fldChar w:fldCharType="end"/>
          </w:r>
        </w:p>
        <w:p w14:paraId="1620E27A">
          <w:pPr>
            <w:pStyle w:val="14"/>
            <w:rPr>
              <w:rFonts w:eastAsiaTheme="minorEastAsia"/>
              <w:kern w:val="2"/>
              <w:sz w:val="24"/>
              <w:szCs w:val="24"/>
              <w:lang w:eastAsia="pt-BR"/>
              <w14:ligatures w14:val="standardContextual"/>
            </w:rPr>
          </w:pPr>
          <w:r>
            <w:fldChar w:fldCharType="begin"/>
          </w:r>
          <w:r>
            <w:instrText xml:space="preserve"> HYPERLINK \l "_Toc192161423" </w:instrText>
          </w:r>
          <w:r>
            <w:fldChar w:fldCharType="separate"/>
          </w:r>
          <w:r>
            <w:rPr>
              <w:rStyle w:val="13"/>
              <w:rFonts w:ascii="Arial" w:hAnsi="Arial" w:cs="Arial"/>
              <w:b/>
              <w:bCs/>
            </w:rPr>
            <w:t>Comissões</w:t>
          </w:r>
          <w:r>
            <w:tab/>
          </w:r>
          <w:r>
            <w:fldChar w:fldCharType="begin"/>
          </w:r>
          <w:r>
            <w:instrText xml:space="preserve"> PAGEREF _Toc192161423 \h </w:instrText>
          </w:r>
          <w:r>
            <w:fldChar w:fldCharType="separate"/>
          </w:r>
          <w:r>
            <w:t>11</w:t>
          </w:r>
          <w:r>
            <w:fldChar w:fldCharType="end"/>
          </w:r>
          <w:r>
            <w:fldChar w:fldCharType="end"/>
          </w:r>
        </w:p>
        <w:p w14:paraId="069D2862">
          <w:pPr>
            <w:pStyle w:val="14"/>
            <w:rPr>
              <w:rFonts w:eastAsiaTheme="minorEastAsia"/>
              <w:kern w:val="2"/>
              <w:sz w:val="24"/>
              <w:szCs w:val="24"/>
              <w:lang w:eastAsia="pt-BR"/>
              <w14:ligatures w14:val="standardContextual"/>
            </w:rPr>
          </w:pPr>
          <w:r>
            <w:fldChar w:fldCharType="begin"/>
          </w:r>
          <w:r>
            <w:instrText xml:space="preserve"> HYPERLINK \l "_Toc192161424" </w:instrText>
          </w:r>
          <w:r>
            <w:fldChar w:fldCharType="separate"/>
          </w:r>
          <w:r>
            <w:rPr>
              <w:rStyle w:val="13"/>
              <w:rFonts w:ascii="Arial" w:hAnsi="Arial" w:cs="Arial"/>
              <w:b/>
              <w:bCs/>
            </w:rPr>
            <w:t>2.Recepção</w:t>
          </w:r>
          <w:r>
            <w:tab/>
          </w:r>
          <w:r>
            <w:fldChar w:fldCharType="begin"/>
          </w:r>
          <w:r>
            <w:instrText xml:space="preserve"> PAGEREF _Toc192161424 \h </w:instrText>
          </w:r>
          <w:r>
            <w:fldChar w:fldCharType="separate"/>
          </w:r>
          <w:r>
            <w:t>13</w:t>
          </w:r>
          <w:r>
            <w:fldChar w:fldCharType="end"/>
          </w:r>
          <w:r>
            <w:fldChar w:fldCharType="end"/>
          </w:r>
        </w:p>
        <w:p w14:paraId="5622E4B5">
          <w:pPr>
            <w:pStyle w:val="14"/>
            <w:rPr>
              <w:rFonts w:eastAsiaTheme="minorEastAsia"/>
              <w:kern w:val="2"/>
              <w:sz w:val="24"/>
              <w:szCs w:val="24"/>
              <w:lang w:eastAsia="pt-BR"/>
              <w14:ligatures w14:val="standardContextual"/>
            </w:rPr>
          </w:pPr>
          <w:r>
            <w:fldChar w:fldCharType="begin"/>
          </w:r>
          <w:r>
            <w:instrText xml:space="preserve"> HYPERLINK \l "_Toc192161425" </w:instrText>
          </w:r>
          <w:r>
            <w:fldChar w:fldCharType="separate"/>
          </w:r>
          <w:r>
            <w:rPr>
              <w:rStyle w:val="13"/>
              <w:rFonts w:ascii="Arial" w:hAnsi="Arial" w:cs="Arial"/>
              <w:b/>
              <w:bCs/>
            </w:rPr>
            <w:t>3.Equipe Multiprofissional</w:t>
          </w:r>
          <w:r>
            <w:tab/>
          </w:r>
          <w:r>
            <w:fldChar w:fldCharType="begin"/>
          </w:r>
          <w:r>
            <w:instrText xml:space="preserve"> PAGEREF _Toc192161425 \h </w:instrText>
          </w:r>
          <w:r>
            <w:fldChar w:fldCharType="separate"/>
          </w:r>
          <w:r>
            <w:t>16</w:t>
          </w:r>
          <w:r>
            <w:fldChar w:fldCharType="end"/>
          </w:r>
          <w:r>
            <w:fldChar w:fldCharType="end"/>
          </w:r>
        </w:p>
        <w:p w14:paraId="13ACDAEF">
          <w:pPr>
            <w:pStyle w:val="14"/>
            <w:rPr>
              <w:rFonts w:eastAsiaTheme="minorEastAsia"/>
              <w:kern w:val="2"/>
              <w:sz w:val="24"/>
              <w:szCs w:val="24"/>
              <w:lang w:eastAsia="pt-BR"/>
              <w14:ligatures w14:val="standardContextual"/>
            </w:rPr>
          </w:pPr>
          <w:r>
            <w:fldChar w:fldCharType="begin"/>
          </w:r>
          <w:r>
            <w:instrText xml:space="preserve"> HYPERLINK \l "_Toc192161426" </w:instrText>
          </w:r>
          <w:r>
            <w:fldChar w:fldCharType="separate"/>
          </w:r>
          <w:r>
            <w:rPr>
              <w:rStyle w:val="13"/>
              <w:rFonts w:ascii="Arial" w:hAnsi="Arial" w:cs="Arial"/>
              <w:b/>
              <w:bCs/>
            </w:rPr>
            <w:t>4.Ouvidoria</w:t>
          </w:r>
          <w:r>
            <w:tab/>
          </w:r>
          <w:r>
            <w:fldChar w:fldCharType="begin"/>
          </w:r>
          <w:r>
            <w:instrText xml:space="preserve"> PAGEREF _Toc192161426 \h </w:instrText>
          </w:r>
          <w:r>
            <w:fldChar w:fldCharType="separate"/>
          </w:r>
          <w:r>
            <w:t>19</w:t>
          </w:r>
          <w:r>
            <w:fldChar w:fldCharType="end"/>
          </w:r>
          <w:r>
            <w:fldChar w:fldCharType="end"/>
          </w:r>
        </w:p>
        <w:p w14:paraId="6957BADE">
          <w:pPr>
            <w:pStyle w:val="14"/>
            <w:rPr>
              <w:rFonts w:eastAsiaTheme="minorEastAsia"/>
              <w:kern w:val="2"/>
              <w:sz w:val="24"/>
              <w:szCs w:val="24"/>
              <w:lang w:eastAsia="pt-BR"/>
              <w14:ligatures w14:val="standardContextual"/>
            </w:rPr>
          </w:pPr>
          <w:r>
            <w:fldChar w:fldCharType="begin"/>
          </w:r>
          <w:r>
            <w:instrText xml:space="preserve"> HYPERLINK \l "_Toc192161427" </w:instrText>
          </w:r>
          <w:r>
            <w:fldChar w:fldCharType="separate"/>
          </w:r>
          <w:r>
            <w:rPr>
              <w:rStyle w:val="13"/>
              <w:rFonts w:ascii="Arial" w:hAnsi="Arial" w:cs="Arial"/>
              <w:b/>
              <w:bCs/>
            </w:rPr>
            <w:t>5.Serviço de controle de infecções</w:t>
          </w:r>
          <w:r>
            <w:rPr>
              <w:rStyle w:val="13"/>
              <w:rFonts w:ascii="Arial" w:hAnsi="Arial" w:cs="Arial"/>
              <w:b/>
              <w:bCs/>
              <w:shd w:val="clear" w:color="auto" w:fill="FFFFFF"/>
            </w:rPr>
            <w:t xml:space="preserve"> relacionada a assistência à saúde (</w:t>
          </w:r>
          <w:r>
            <w:rPr>
              <w:rStyle w:val="13"/>
              <w:rFonts w:ascii="Arial" w:hAnsi="Arial" w:cs="Arial"/>
              <w:b/>
              <w:bCs/>
            </w:rPr>
            <w:t>SCIRAS)</w:t>
          </w:r>
          <w:r>
            <w:tab/>
          </w:r>
          <w:r>
            <w:fldChar w:fldCharType="begin"/>
          </w:r>
          <w:r>
            <w:instrText xml:space="preserve"> PAGEREF _Toc192161427 \h </w:instrText>
          </w:r>
          <w:r>
            <w:fldChar w:fldCharType="separate"/>
          </w:r>
          <w:r>
            <w:t>20</w:t>
          </w:r>
          <w:r>
            <w:fldChar w:fldCharType="end"/>
          </w:r>
          <w:r>
            <w:fldChar w:fldCharType="end"/>
          </w:r>
        </w:p>
        <w:p w14:paraId="65A8D1C1">
          <w:pPr>
            <w:pStyle w:val="22"/>
            <w:rPr>
              <w:rFonts w:asciiTheme="minorHAnsi" w:hAnsiTheme="minorHAnsi" w:eastAsiaTheme="minorEastAsia" w:cstheme="minorBidi"/>
              <w:kern w:val="2"/>
              <w:sz w:val="24"/>
              <w:szCs w:val="24"/>
              <w:lang w:eastAsia="pt-BR"/>
              <w14:ligatures w14:val="standardContextual"/>
            </w:rPr>
          </w:pPr>
          <w:r>
            <w:fldChar w:fldCharType="begin"/>
          </w:r>
          <w:r>
            <w:instrText xml:space="preserve"> HYPERLINK \l "_Toc192161428" </w:instrText>
          </w:r>
          <w:r>
            <w:fldChar w:fldCharType="separate"/>
          </w:r>
          <w:r>
            <w:rPr>
              <w:rStyle w:val="13"/>
              <w:rFonts w:ascii="Arial" w:hAnsi="Arial" w:cs="Arial"/>
              <w:b/>
              <w:bCs/>
            </w:rPr>
            <w:t>Ações Realizadas:</w:t>
          </w:r>
          <w:r>
            <w:tab/>
          </w:r>
          <w:r>
            <w:fldChar w:fldCharType="begin"/>
          </w:r>
          <w:r>
            <w:instrText xml:space="preserve"> PAGEREF _Toc192161428 \h </w:instrText>
          </w:r>
          <w:r>
            <w:fldChar w:fldCharType="separate"/>
          </w:r>
          <w:r>
            <w:t>21</w:t>
          </w:r>
          <w:r>
            <w:fldChar w:fldCharType="end"/>
          </w:r>
          <w:r>
            <w:fldChar w:fldCharType="end"/>
          </w:r>
        </w:p>
        <w:p w14:paraId="1883C3AA">
          <w:pPr>
            <w:pStyle w:val="14"/>
            <w:rPr>
              <w:rFonts w:eastAsiaTheme="minorEastAsia"/>
              <w:kern w:val="2"/>
              <w:sz w:val="24"/>
              <w:szCs w:val="24"/>
              <w:lang w:eastAsia="pt-BR"/>
              <w14:ligatures w14:val="standardContextual"/>
            </w:rPr>
          </w:pPr>
          <w:r>
            <w:fldChar w:fldCharType="begin"/>
          </w:r>
          <w:r>
            <w:instrText xml:space="preserve"> HYPERLINK \l "_Toc192161429" </w:instrText>
          </w:r>
          <w:r>
            <w:fldChar w:fldCharType="separate"/>
          </w:r>
          <w:r>
            <w:rPr>
              <w:rStyle w:val="13"/>
              <w:rFonts w:ascii="Arial" w:hAnsi="Arial" w:cs="Arial"/>
              <w:b/>
              <w:bCs/>
            </w:rPr>
            <w:t>6.Núcleo de Verificação Epidemiológica (NVE)</w:t>
          </w:r>
          <w:r>
            <w:tab/>
          </w:r>
          <w:r>
            <w:fldChar w:fldCharType="begin"/>
          </w:r>
          <w:r>
            <w:instrText xml:space="preserve"> PAGEREF _Toc192161429 \h </w:instrText>
          </w:r>
          <w:r>
            <w:fldChar w:fldCharType="separate"/>
          </w:r>
          <w:r>
            <w:t>22</w:t>
          </w:r>
          <w:r>
            <w:fldChar w:fldCharType="end"/>
          </w:r>
          <w:r>
            <w:fldChar w:fldCharType="end"/>
          </w:r>
        </w:p>
        <w:p w14:paraId="27BC7012">
          <w:pPr>
            <w:pStyle w:val="14"/>
            <w:rPr>
              <w:rFonts w:eastAsiaTheme="minorEastAsia"/>
              <w:kern w:val="2"/>
              <w:sz w:val="24"/>
              <w:szCs w:val="24"/>
              <w:lang w:eastAsia="pt-BR"/>
              <w14:ligatures w14:val="standardContextual"/>
            </w:rPr>
          </w:pPr>
          <w:r>
            <w:fldChar w:fldCharType="begin"/>
          </w:r>
          <w:r>
            <w:instrText xml:space="preserve"> HYPERLINK \l "_Toc192161431" </w:instrText>
          </w:r>
          <w:r>
            <w:fldChar w:fldCharType="separate"/>
          </w:r>
          <w:r>
            <w:rPr>
              <w:rStyle w:val="13"/>
              <w:rFonts w:ascii="Arial" w:hAnsi="Arial" w:cs="Arial"/>
              <w:b/>
              <w:bCs/>
            </w:rPr>
            <w:t>7.Núcleo de Educação Permanente – NEPE</w:t>
          </w:r>
          <w:r>
            <w:tab/>
          </w:r>
          <w:r>
            <w:fldChar w:fldCharType="begin"/>
          </w:r>
          <w:r>
            <w:instrText xml:space="preserve"> PAGEREF _Toc192161431 \h </w:instrText>
          </w:r>
          <w:r>
            <w:fldChar w:fldCharType="separate"/>
          </w:r>
          <w:r>
            <w:t>23</w:t>
          </w:r>
          <w:r>
            <w:fldChar w:fldCharType="end"/>
          </w:r>
          <w:r>
            <w:fldChar w:fldCharType="end"/>
          </w:r>
        </w:p>
        <w:p w14:paraId="1F752F30">
          <w:pPr>
            <w:pStyle w:val="14"/>
            <w:rPr>
              <w:rFonts w:eastAsiaTheme="minorEastAsia"/>
              <w:kern w:val="2"/>
              <w:sz w:val="24"/>
              <w:szCs w:val="24"/>
              <w:lang w:eastAsia="pt-BR"/>
              <w14:ligatures w14:val="standardContextual"/>
            </w:rPr>
          </w:pPr>
          <w:r>
            <w:fldChar w:fldCharType="begin"/>
          </w:r>
          <w:r>
            <w:instrText xml:space="preserve"> HYPERLINK \l "_Toc192161432" </w:instrText>
          </w:r>
          <w:r>
            <w:fldChar w:fldCharType="separate"/>
          </w:r>
          <w:r>
            <w:rPr>
              <w:rStyle w:val="13"/>
              <w:rFonts w:ascii="Arial" w:hAnsi="Arial" w:cs="Arial"/>
              <w:b/>
              <w:bCs/>
            </w:rPr>
            <w:t>8.Farmácia</w:t>
          </w:r>
          <w:r>
            <w:tab/>
          </w:r>
          <w:r>
            <w:fldChar w:fldCharType="begin"/>
          </w:r>
          <w:r>
            <w:instrText xml:space="preserve"> PAGEREF _Toc192161432 \h </w:instrText>
          </w:r>
          <w:r>
            <w:fldChar w:fldCharType="separate"/>
          </w:r>
          <w:r>
            <w:t>27</w:t>
          </w:r>
          <w:r>
            <w:fldChar w:fldCharType="end"/>
          </w:r>
          <w:r>
            <w:fldChar w:fldCharType="end"/>
          </w:r>
        </w:p>
        <w:p w14:paraId="6DA01908">
          <w:pPr>
            <w:pStyle w:val="14"/>
            <w:rPr>
              <w:rFonts w:eastAsiaTheme="minorEastAsia"/>
              <w:kern w:val="2"/>
              <w:sz w:val="24"/>
              <w:szCs w:val="24"/>
              <w:lang w:eastAsia="pt-BR"/>
              <w14:ligatures w14:val="standardContextual"/>
            </w:rPr>
          </w:pPr>
          <w:r>
            <w:fldChar w:fldCharType="begin"/>
          </w:r>
          <w:r>
            <w:instrText xml:space="preserve"> HYPERLINK \l "_Toc192161434" </w:instrText>
          </w:r>
          <w:r>
            <w:fldChar w:fldCharType="separate"/>
          </w:r>
          <w:r>
            <w:rPr>
              <w:rStyle w:val="13"/>
              <w:rFonts w:ascii="Arial" w:hAnsi="Arial" w:cs="Arial"/>
              <w:b/>
              <w:bCs/>
            </w:rPr>
            <w:t>9.Faturamento</w:t>
          </w:r>
          <w:r>
            <w:tab/>
          </w:r>
          <w:r>
            <w:fldChar w:fldCharType="begin"/>
          </w:r>
          <w:r>
            <w:instrText xml:space="preserve"> PAGEREF _Toc192161434 \h </w:instrText>
          </w:r>
          <w:r>
            <w:fldChar w:fldCharType="separate"/>
          </w:r>
          <w:r>
            <w:t>31</w:t>
          </w:r>
          <w:r>
            <w:fldChar w:fldCharType="end"/>
          </w:r>
          <w:r>
            <w:fldChar w:fldCharType="end"/>
          </w:r>
        </w:p>
        <w:p w14:paraId="31ED3B86">
          <w:pPr>
            <w:pStyle w:val="14"/>
            <w:rPr>
              <w:rFonts w:eastAsiaTheme="minorEastAsia"/>
              <w:kern w:val="2"/>
              <w:sz w:val="24"/>
              <w:szCs w:val="24"/>
              <w:lang w:eastAsia="pt-BR"/>
              <w14:ligatures w14:val="standardContextual"/>
            </w:rPr>
          </w:pPr>
          <w:r>
            <w:fldChar w:fldCharType="begin"/>
          </w:r>
          <w:r>
            <w:instrText xml:space="preserve"> HYPERLINK \l "_Toc192161435" </w:instrText>
          </w:r>
          <w:r>
            <w:fldChar w:fldCharType="separate"/>
          </w:r>
          <w:r>
            <w:rPr>
              <w:rStyle w:val="13"/>
              <w:rFonts w:ascii="Arial" w:hAnsi="Arial" w:cs="Arial"/>
              <w:b/>
              <w:bCs/>
            </w:rPr>
            <w:t>9.1</w:t>
          </w:r>
          <w:r>
            <w:rPr>
              <w:rStyle w:val="13"/>
              <w:rFonts w:ascii="Arial" w:hAnsi="Arial" w:cs="Arial"/>
              <w:b/>
              <w:bCs/>
              <w:shd w:val="clear" w:color="auto" w:fill="FFFFFF"/>
            </w:rPr>
            <w:t>– Indicadores de Atendimentos</w:t>
          </w:r>
          <w:r>
            <w:tab/>
          </w:r>
          <w:r>
            <w:fldChar w:fldCharType="begin"/>
          </w:r>
          <w:r>
            <w:instrText xml:space="preserve"> PAGEREF _Toc192161435 \h </w:instrText>
          </w:r>
          <w:r>
            <w:fldChar w:fldCharType="separate"/>
          </w:r>
          <w:r>
            <w:t>32</w:t>
          </w:r>
          <w:r>
            <w:fldChar w:fldCharType="end"/>
          </w:r>
          <w:r>
            <w:fldChar w:fldCharType="end"/>
          </w:r>
        </w:p>
        <w:p w14:paraId="751141A4">
          <w:pPr>
            <w:pStyle w:val="22"/>
            <w:rPr>
              <w:rFonts w:asciiTheme="minorHAnsi" w:hAnsiTheme="minorHAnsi" w:eastAsiaTheme="minorEastAsia" w:cstheme="minorBidi"/>
              <w:kern w:val="2"/>
              <w:sz w:val="24"/>
              <w:szCs w:val="24"/>
              <w:lang w:eastAsia="pt-BR"/>
              <w14:ligatures w14:val="standardContextual"/>
            </w:rPr>
          </w:pPr>
          <w:r>
            <w:fldChar w:fldCharType="begin"/>
          </w:r>
          <w:r>
            <w:instrText xml:space="preserve"> HYPERLINK \l "_Toc192161436" </w:instrText>
          </w:r>
          <w:r>
            <w:fldChar w:fldCharType="separate"/>
          </w:r>
          <w:r>
            <w:rPr>
              <w:rStyle w:val="13"/>
              <w:rFonts w:ascii="Arial" w:hAnsi="Arial" w:cs="Arial"/>
              <w:b/>
            </w:rPr>
            <w:t>1.0</w:t>
          </w:r>
          <w:r>
            <w:rPr>
              <w:rFonts w:asciiTheme="minorHAnsi" w:hAnsiTheme="minorHAnsi" w:eastAsiaTheme="minorEastAsia" w:cstheme="minorBidi"/>
              <w:kern w:val="2"/>
              <w:sz w:val="24"/>
              <w:szCs w:val="24"/>
              <w:lang w:eastAsia="pt-BR"/>
              <w14:ligatures w14:val="standardContextual"/>
            </w:rPr>
            <w:tab/>
          </w:r>
          <w:r>
            <w:rPr>
              <w:rStyle w:val="13"/>
              <w:rFonts w:ascii="Arial" w:hAnsi="Arial" w:cs="Arial"/>
              <w:b/>
            </w:rPr>
            <w:t>Atendimento Médico Ambulatorial</w:t>
          </w:r>
          <w:r>
            <w:tab/>
          </w:r>
          <w:r>
            <w:fldChar w:fldCharType="begin"/>
          </w:r>
          <w:r>
            <w:instrText xml:space="preserve"> PAGEREF _Toc192161436 \h </w:instrText>
          </w:r>
          <w:r>
            <w:fldChar w:fldCharType="separate"/>
          </w:r>
          <w:r>
            <w:t>33</w:t>
          </w:r>
          <w:r>
            <w:fldChar w:fldCharType="end"/>
          </w:r>
          <w:r>
            <w:fldChar w:fldCharType="end"/>
          </w:r>
        </w:p>
        <w:p w14:paraId="32103919">
          <w:pPr>
            <w:pStyle w:val="22"/>
            <w:rPr>
              <w:rFonts w:asciiTheme="minorHAnsi" w:hAnsiTheme="minorHAnsi" w:eastAsiaTheme="minorEastAsia" w:cstheme="minorBidi"/>
              <w:kern w:val="2"/>
              <w:sz w:val="24"/>
              <w:szCs w:val="24"/>
              <w:lang w:eastAsia="pt-BR"/>
              <w14:ligatures w14:val="standardContextual"/>
            </w:rPr>
          </w:pPr>
          <w:r>
            <w:fldChar w:fldCharType="begin"/>
          </w:r>
          <w:r>
            <w:instrText xml:space="preserve"> HYPERLINK \l "_Toc192161437" </w:instrText>
          </w:r>
          <w:r>
            <w:fldChar w:fldCharType="separate"/>
          </w:r>
          <w:r>
            <w:rPr>
              <w:rStyle w:val="13"/>
              <w:rFonts w:ascii="Arial" w:hAnsi="Arial" w:cs="Arial"/>
              <w:b/>
            </w:rPr>
            <w:t>Atendimento não Médico Ambulatorial</w:t>
          </w:r>
          <w:r>
            <w:tab/>
          </w:r>
          <w:r>
            <w:fldChar w:fldCharType="begin"/>
          </w:r>
          <w:r>
            <w:instrText xml:space="preserve"> PAGEREF _Toc192161437 \h </w:instrText>
          </w:r>
          <w:r>
            <w:fldChar w:fldCharType="separate"/>
          </w:r>
          <w:r>
            <w:t>34</w:t>
          </w:r>
          <w:r>
            <w:fldChar w:fldCharType="end"/>
          </w:r>
          <w:r>
            <w:fldChar w:fldCharType="end"/>
          </w:r>
        </w:p>
        <w:p w14:paraId="336B4C20">
          <w:pPr>
            <w:pStyle w:val="14"/>
            <w:rPr>
              <w:rFonts w:eastAsiaTheme="minorEastAsia"/>
              <w:kern w:val="2"/>
              <w:sz w:val="24"/>
              <w:szCs w:val="24"/>
              <w:lang w:eastAsia="pt-BR"/>
              <w14:ligatures w14:val="standardContextual"/>
            </w:rPr>
          </w:pPr>
          <w:r>
            <w:fldChar w:fldCharType="begin"/>
          </w:r>
          <w:r>
            <w:instrText xml:space="preserve"> HYPERLINK \l "_Toc192161438" </w:instrText>
          </w:r>
          <w:r>
            <w:fldChar w:fldCharType="separate"/>
          </w:r>
          <w:r>
            <w:rPr>
              <w:rStyle w:val="13"/>
              <w:rFonts w:ascii="Arial" w:hAnsi="Arial" w:cs="Arial"/>
              <w:b/>
              <w:bCs/>
            </w:rPr>
            <w:t>10.</w:t>
          </w:r>
          <w:r>
            <w:rPr>
              <w:rStyle w:val="13"/>
              <w:rFonts w:ascii="Arial" w:hAnsi="Arial" w:cs="Arial"/>
              <w:b/>
              <w:bCs/>
              <w:shd w:val="clear" w:color="auto" w:fill="FFFFFF"/>
            </w:rPr>
            <w:t>Serviço Especializado em Segurança e Medicina do Trabalho (SESMT)</w:t>
          </w:r>
          <w:r>
            <w:tab/>
          </w:r>
          <w:r>
            <w:fldChar w:fldCharType="begin"/>
          </w:r>
          <w:r>
            <w:instrText xml:space="preserve"> PAGEREF _Toc192161438 \h </w:instrText>
          </w:r>
          <w:r>
            <w:fldChar w:fldCharType="separate"/>
          </w:r>
          <w:r>
            <w:t>36</w:t>
          </w:r>
          <w:r>
            <w:fldChar w:fldCharType="end"/>
          </w:r>
          <w:r>
            <w:fldChar w:fldCharType="end"/>
          </w:r>
        </w:p>
        <w:p w14:paraId="36542B83">
          <w:pPr>
            <w:pStyle w:val="14"/>
            <w:rPr>
              <w:rFonts w:eastAsiaTheme="minorEastAsia"/>
              <w:kern w:val="2"/>
              <w:sz w:val="24"/>
              <w:szCs w:val="24"/>
              <w:lang w:eastAsia="pt-BR"/>
              <w14:ligatures w14:val="standardContextual"/>
            </w:rPr>
          </w:pPr>
          <w:r>
            <w:fldChar w:fldCharType="begin"/>
          </w:r>
          <w:r>
            <w:instrText xml:space="preserve"> HYPERLINK \l "_Toc192161439" </w:instrText>
          </w:r>
          <w:r>
            <w:fldChar w:fldCharType="separate"/>
          </w:r>
          <w:r>
            <w:rPr>
              <w:rStyle w:val="13"/>
              <w:rFonts w:ascii="Arial" w:hAnsi="Arial" w:cs="Arial"/>
              <w:b/>
              <w:bCs/>
            </w:rPr>
            <w:t>11</w:t>
          </w:r>
          <w:r>
            <w:rPr>
              <w:rStyle w:val="13"/>
              <w:rFonts w:hint="default" w:ascii="Arial" w:hAnsi="Arial" w:cs="Arial"/>
              <w:b/>
              <w:bCs/>
              <w:lang w:val="pt-BR"/>
            </w:rPr>
            <w:t>.</w:t>
          </w:r>
          <w:r>
            <w:rPr>
              <w:rStyle w:val="13"/>
              <w:rFonts w:ascii="Arial" w:hAnsi="Arial" w:cs="Arial"/>
              <w:b/>
              <w:bCs/>
            </w:rPr>
            <w:t>Coordenação de Enfermagem</w:t>
          </w:r>
          <w:r>
            <w:tab/>
          </w:r>
          <w:r>
            <w:fldChar w:fldCharType="begin"/>
          </w:r>
          <w:r>
            <w:instrText xml:space="preserve"> PAGEREF _Toc192161439 \h </w:instrText>
          </w:r>
          <w:r>
            <w:fldChar w:fldCharType="separate"/>
          </w:r>
          <w:r>
            <w:t>38</w:t>
          </w:r>
          <w:r>
            <w:fldChar w:fldCharType="end"/>
          </w:r>
          <w:r>
            <w:fldChar w:fldCharType="end"/>
          </w:r>
        </w:p>
        <w:p w14:paraId="6756EF5A">
          <w:pPr>
            <w:pStyle w:val="22"/>
            <w:rPr>
              <w:rFonts w:asciiTheme="minorHAnsi" w:hAnsiTheme="minorHAnsi" w:eastAsiaTheme="minorEastAsia" w:cstheme="minorBidi"/>
              <w:kern w:val="2"/>
              <w:sz w:val="24"/>
              <w:szCs w:val="24"/>
              <w:lang w:eastAsia="pt-BR"/>
              <w14:ligatures w14:val="standardContextual"/>
            </w:rPr>
          </w:pPr>
        </w:p>
        <w:p w14:paraId="00EB54DA">
          <w:r>
            <w:rPr>
              <w:b/>
              <w:bCs/>
            </w:rPr>
            <w:fldChar w:fldCharType="end"/>
          </w:r>
        </w:p>
      </w:sdtContent>
    </w:sdt>
    <w:p w14:paraId="0DB6A84C">
      <w:pPr>
        <w:spacing w:line="360" w:lineRule="auto"/>
        <w:rPr>
          <w:rFonts w:ascii="Arial" w:hAnsi="Arial" w:cs="Arial"/>
        </w:rPr>
      </w:pPr>
    </w:p>
    <w:p w14:paraId="25DB4401">
      <w:pPr>
        <w:pStyle w:val="71"/>
        <w:ind w:left="-1134" w:right="-567"/>
        <w:jc w:val="center"/>
        <w:rPr>
          <w:rFonts w:ascii="Arial" w:hAnsi="Arial" w:cs="Arial"/>
        </w:rPr>
      </w:pPr>
      <w:r>
        <w:rPr>
          <w:rFonts w:ascii="Arial" w:hAnsi="Arial" w:cs="Arial"/>
        </w:rPr>
        <w:br w:type="page"/>
      </w:r>
    </w:p>
    <w:p w14:paraId="2F6CDFF0">
      <w:pPr>
        <w:spacing w:line="276" w:lineRule="auto"/>
        <w:jc w:val="both"/>
        <w:rPr>
          <w:rFonts w:ascii="Arial" w:hAnsi="Arial" w:cs="Arial"/>
        </w:rPr>
      </w:pPr>
    </w:p>
    <w:p w14:paraId="1DD2C0D7">
      <w:pPr>
        <w:pStyle w:val="3"/>
        <w:numPr>
          <w:ilvl w:val="0"/>
          <w:numId w:val="0"/>
        </w:numPr>
        <w:ind w:left="720"/>
        <w:rPr>
          <w:rFonts w:ascii="Arial" w:hAnsi="Arial" w:cs="Arial"/>
          <w:b/>
          <w:bCs/>
          <w:color w:val="000000" w:themeColor="text1"/>
          <w:sz w:val="22"/>
          <w:szCs w:val="22"/>
          <w:shd w:val="clear" w:color="auto" w:fill="FFFFFF"/>
          <w14:textFill>
            <w14:solidFill>
              <w14:schemeClr w14:val="tx1"/>
            </w14:solidFill>
          </w14:textFill>
        </w:rPr>
      </w:pPr>
      <w:bookmarkStart w:id="0" w:name="_Toc192161418"/>
      <w:r>
        <w:rPr>
          <w:rFonts w:ascii="Arial" w:hAnsi="Arial" w:cs="Arial"/>
          <w:b/>
          <w:bCs/>
          <w:color w:val="000000" w:themeColor="text1"/>
          <w:sz w:val="22"/>
          <w:szCs w:val="22"/>
          <w:shd w:val="clear" w:color="auto" w:fill="FFFFFF"/>
          <w14:textFill>
            <w14:solidFill>
              <w14:schemeClr w14:val="tx1"/>
            </w14:solidFill>
          </w14:textFill>
        </w:rPr>
        <w:t>APRESENTAÇÃO</w:t>
      </w:r>
      <w:bookmarkEnd w:id="0"/>
    </w:p>
    <w:p w14:paraId="641EE74A">
      <w:pPr>
        <w:spacing w:after="0" w:line="360" w:lineRule="auto"/>
        <w:ind w:firstLine="851"/>
        <w:jc w:val="both"/>
        <w:rPr>
          <w:rFonts w:ascii="Arial" w:hAnsi="Arial" w:cs="Arial"/>
        </w:rPr>
      </w:pPr>
    </w:p>
    <w:p w14:paraId="1E725129">
      <w:pPr>
        <w:spacing w:after="0" w:line="360" w:lineRule="auto"/>
        <w:ind w:firstLine="851"/>
        <w:jc w:val="both"/>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78F4064B">
      <w:pPr>
        <w:spacing w:after="0" w:line="360" w:lineRule="auto"/>
        <w:ind w:firstLine="851"/>
        <w:jc w:val="both"/>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07B6A966">
      <w:pPr>
        <w:spacing w:after="0" w:line="360" w:lineRule="auto"/>
        <w:ind w:firstLine="851"/>
        <w:jc w:val="both"/>
        <w:rPr>
          <w:rFonts w:ascii="Arial" w:hAnsi="Arial" w:cs="Arial"/>
        </w:rPr>
      </w:pPr>
      <w:r>
        <w:rPr>
          <w:rFonts w:ascii="Arial" w:hAnsi="Arial" w:cs="Arial"/>
        </w:rPr>
        <w:t xml:space="preserve"> Devidamente contratualizado com a Secretaria do Estado de Goiás, por meio de Termo de Colaboração: 093/2024, para o gerenciamento, a operacionalização e a execução das ações e serviços de saúde na Policlínica Estadual da Região Sudoeste – Quirinópolis, localizada à Rua 03, nº 1, Residencial Atenas II, Quirinópolis - GO, CEP: 75.862.584. 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2A63472">
      <w:pPr>
        <w:spacing w:before="240" w:after="240" w:line="360" w:lineRule="auto"/>
        <w:ind w:left="-1134" w:right="-568"/>
        <w:jc w:val="both"/>
        <w:rPr>
          <w:rFonts w:ascii="Arial" w:hAnsi="Arial" w:cs="Arial"/>
        </w:rPr>
      </w:pPr>
    </w:p>
    <w:p w14:paraId="05B8D6D3">
      <w:pPr>
        <w:spacing w:before="240" w:after="240" w:line="360" w:lineRule="auto"/>
        <w:ind w:left="-1134" w:right="-568"/>
        <w:jc w:val="both"/>
        <w:rPr>
          <w:rFonts w:ascii="Arial" w:hAnsi="Arial" w:cs="Arial"/>
        </w:rPr>
      </w:pPr>
    </w:p>
    <w:p w14:paraId="2A1CCEB1">
      <w:pPr>
        <w:spacing w:before="240" w:after="240" w:line="360" w:lineRule="auto"/>
        <w:ind w:left="-1134" w:right="-568"/>
        <w:jc w:val="both"/>
        <w:rPr>
          <w:rFonts w:ascii="Arial" w:hAnsi="Arial" w:cs="Arial"/>
        </w:rPr>
      </w:pPr>
    </w:p>
    <w:p w14:paraId="0E876EDA">
      <w:pPr>
        <w:spacing w:before="240" w:after="240" w:line="360" w:lineRule="auto"/>
        <w:ind w:left="-1134" w:right="-568"/>
        <w:jc w:val="both"/>
        <w:rPr>
          <w:rFonts w:ascii="Arial" w:hAnsi="Arial" w:cs="Arial"/>
        </w:rPr>
      </w:pPr>
    </w:p>
    <w:p w14:paraId="366A7087">
      <w:pPr>
        <w:spacing w:before="240" w:after="240" w:line="360" w:lineRule="auto"/>
        <w:ind w:left="-1134" w:right="-568"/>
        <w:jc w:val="both"/>
        <w:rPr>
          <w:rFonts w:ascii="Arial" w:hAnsi="Arial" w:cs="Arial"/>
          <w:b/>
          <w:bCs/>
        </w:rPr>
      </w:pPr>
    </w:p>
    <w:p w14:paraId="09603030">
      <w:pPr>
        <w:spacing w:before="240" w:after="240" w:line="360" w:lineRule="auto"/>
        <w:jc w:val="center"/>
        <w:rPr>
          <w:rFonts w:hint="default" w:ascii="Arial" w:hAnsi="Arial" w:cs="Arial"/>
          <w:b/>
          <w:bCs/>
          <w:color w:val="00344C"/>
          <w:sz w:val="24"/>
          <w:szCs w:val="24"/>
        </w:rPr>
      </w:pPr>
      <w:r>
        <w:rPr>
          <w:rFonts w:hint="default" w:ascii="Arial" w:hAnsi="Arial" w:cs="Arial"/>
          <w:b/>
          <w:bCs/>
          <w:color w:val="00344C"/>
          <w:sz w:val="24"/>
          <w:szCs w:val="24"/>
        </w:rPr>
        <w:t>MISSÃO:</w:t>
      </w:r>
    </w:p>
    <w:p w14:paraId="058D53D3">
      <w:pPr>
        <w:spacing w:before="240" w:after="240" w:line="360" w:lineRule="auto"/>
        <w:jc w:val="center"/>
        <w:rPr>
          <w:rFonts w:ascii="Heavitas" w:hAnsi="Heavitas" w:cs="Arial"/>
          <w:color w:val="00344C"/>
          <w:sz w:val="24"/>
          <w:szCs w:val="24"/>
        </w:rPr>
      </w:pPr>
      <w:r>
        <w:rPr>
          <w:sz w:val="24"/>
          <w:szCs w:val="24"/>
        </w:rPr>
        <w:t xml:space="preserve"> </w:t>
      </w:r>
      <w:r>
        <w:rPr>
          <w:rFonts w:ascii="Arial" w:hAnsi="Arial" w:cs="Arial"/>
          <w:sz w:val="24"/>
          <w:szCs w:val="24"/>
        </w:rPr>
        <w:t>Prestar assistência ambulatorial aos usuários do Sistema Único de Saúde, de forma humanizada, com segurança e qualidade, em busca da satisfação dos pacientes.</w:t>
      </w:r>
    </w:p>
    <w:p w14:paraId="17DAE84A">
      <w:pPr>
        <w:spacing w:before="240" w:after="240" w:line="360" w:lineRule="auto"/>
        <w:jc w:val="center"/>
        <w:rPr>
          <w:rFonts w:hint="default" w:ascii="Arial" w:hAnsi="Arial" w:cs="Arial"/>
          <w:b/>
          <w:bCs/>
          <w:color w:val="00344C"/>
          <w:sz w:val="24"/>
          <w:szCs w:val="24"/>
        </w:rPr>
      </w:pPr>
      <w:r>
        <w:rPr>
          <w:rFonts w:hint="default" w:ascii="Arial" w:hAnsi="Arial" w:cs="Arial"/>
          <w:b/>
          <w:bCs/>
          <w:color w:val="00344C"/>
          <w:sz w:val="24"/>
          <w:szCs w:val="24"/>
        </w:rPr>
        <w:t>VISÃO:</w:t>
      </w:r>
      <w:r>
        <w:rPr>
          <w:rFonts w:hint="default" w:ascii="Arial" w:hAnsi="Arial" w:cs="Arial"/>
          <w:b/>
          <w:bCs/>
          <w:sz w:val="24"/>
          <w:szCs w:val="24"/>
        </w:rPr>
        <w:t xml:space="preserve"> </w:t>
      </w:r>
    </w:p>
    <w:p w14:paraId="7DAF67FA">
      <w:pPr>
        <w:spacing w:before="240" w:after="240" w:line="360" w:lineRule="auto"/>
        <w:jc w:val="center"/>
        <w:rPr>
          <w:rFonts w:ascii="Arial" w:hAnsi="Arial" w:cs="Arial"/>
          <w:sz w:val="24"/>
          <w:szCs w:val="24"/>
        </w:rPr>
      </w:pPr>
      <w:r>
        <w:rPr>
          <w:rFonts w:ascii="Arial" w:hAnsi="Arial" w:cs="Arial"/>
          <w:sz w:val="24"/>
          <w:szCs w:val="24"/>
        </w:rPr>
        <w:t>Ser referência no atendimento ambulatorial, focado na segurança do paciente no Estado de Goiás.</w:t>
      </w:r>
    </w:p>
    <w:p w14:paraId="5310BDEF">
      <w:pPr>
        <w:spacing w:before="240" w:after="240" w:line="360" w:lineRule="auto"/>
        <w:jc w:val="center"/>
        <w:rPr>
          <w:rFonts w:hint="default" w:ascii="Arial" w:hAnsi="Arial" w:cs="Arial"/>
          <w:b/>
          <w:bCs/>
          <w:color w:val="00344C"/>
          <w:sz w:val="24"/>
          <w:szCs w:val="24"/>
        </w:rPr>
      </w:pPr>
      <w:r>
        <w:rPr>
          <w:rFonts w:hint="default" w:ascii="Arial" w:hAnsi="Arial" w:cs="Arial"/>
          <w:b/>
          <w:bCs/>
          <w:color w:val="00344C"/>
          <w:sz w:val="24"/>
          <w:szCs w:val="24"/>
        </w:rPr>
        <w:t>VALORES:</w:t>
      </w:r>
    </w:p>
    <w:p w14:paraId="2AF9D6AA">
      <w:pPr>
        <w:spacing w:before="240" w:after="240" w:line="360" w:lineRule="auto"/>
        <w:jc w:val="center"/>
        <w:rPr>
          <w:rFonts w:ascii="Arial" w:hAnsi="Arial" w:cs="Arial"/>
          <w:sz w:val="24"/>
          <w:szCs w:val="24"/>
        </w:rPr>
      </w:pPr>
      <w:r>
        <w:rPr>
          <w:rFonts w:ascii="Arial" w:hAnsi="Arial" w:cs="Arial"/>
          <w:sz w:val="24"/>
          <w:szCs w:val="24"/>
        </w:rPr>
        <w:t>Segurança, Humanização, Qualidade e Ética.</w:t>
      </w:r>
    </w:p>
    <w:p w14:paraId="3A7605EB">
      <w:pPr>
        <w:spacing w:before="240" w:after="240" w:line="360" w:lineRule="auto"/>
        <w:jc w:val="center"/>
        <w:rPr>
          <w:rFonts w:ascii="Arial" w:hAnsi="Arial" w:cs="Arial"/>
        </w:rPr>
      </w:pPr>
    </w:p>
    <w:p w14:paraId="0BA178BE">
      <w:pPr>
        <w:spacing w:before="240" w:after="240" w:line="360" w:lineRule="auto"/>
        <w:jc w:val="center"/>
        <w:rPr>
          <w:rFonts w:ascii="Arial" w:hAnsi="Arial" w:cs="Arial"/>
        </w:rPr>
      </w:pPr>
    </w:p>
    <w:p w14:paraId="4792697C">
      <w:pPr>
        <w:spacing w:before="240" w:after="240" w:line="360" w:lineRule="auto"/>
        <w:ind w:left="-993" w:right="-710" w:firstLine="709"/>
        <w:jc w:val="both"/>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258D81C6">
      <w:pPr>
        <w:spacing w:before="240" w:after="240" w:line="360" w:lineRule="auto"/>
        <w:ind w:left="-993" w:right="-710"/>
        <w:jc w:val="both"/>
        <w:rPr>
          <w:rFonts w:ascii="Arial" w:hAnsi="Arial" w:cs="Arial"/>
        </w:rPr>
      </w:pPr>
    </w:p>
    <w:p w14:paraId="1A78309E">
      <w:pPr>
        <w:pStyle w:val="3"/>
        <w:numPr>
          <w:ilvl w:val="0"/>
          <w:numId w:val="0"/>
        </w:numPr>
        <w:ind w:left="567"/>
        <w:rPr>
          <w:rFonts w:ascii="Arial" w:hAnsi="Arial" w:cs="Arial"/>
          <w:b/>
          <w:bCs/>
          <w:color w:val="000000" w:themeColor="text1"/>
          <w:sz w:val="22"/>
          <w:szCs w:val="22"/>
          <w:shd w:val="clear" w:color="auto" w:fill="FFFFFF"/>
          <w14:textFill>
            <w14:solidFill>
              <w14:schemeClr w14:val="tx1"/>
            </w14:solidFill>
          </w14:textFill>
        </w:rPr>
      </w:pPr>
      <w:bookmarkStart w:id="1" w:name="_Toc192161419"/>
      <w:r>
        <w:rPr>
          <w:rFonts w:ascii="Arial" w:hAnsi="Arial" w:cs="Arial"/>
          <w:b/>
          <w:bCs/>
          <w:color w:val="000000" w:themeColor="text1"/>
          <w:sz w:val="22"/>
          <w:szCs w:val="22"/>
          <w:shd w:val="clear" w:color="auto" w:fill="FFFFFF"/>
          <w14:textFill>
            <w14:solidFill>
              <w14:schemeClr w14:val="tx1"/>
            </w14:solidFill>
          </w14:textFill>
        </w:rPr>
        <w:t>IDENTIFICAÇÃO DA UNIDADE</w:t>
      </w:r>
      <w:bookmarkEnd w:id="1"/>
    </w:p>
    <w:p w14:paraId="285955C3">
      <w:pPr>
        <w:pStyle w:val="4"/>
        <w:ind w:left="-993"/>
      </w:pPr>
    </w:p>
    <w:p w14:paraId="439F7444">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Nome:</w:t>
      </w:r>
      <w:r>
        <w:rPr>
          <w:rFonts w:ascii="Arial" w:hAnsi="Arial" w:cs="Arial"/>
          <w:color w:val="000000" w:themeColor="text1"/>
          <w14:textFill>
            <w14:solidFill>
              <w14:schemeClr w14:val="tx1"/>
            </w14:solidFill>
          </w14:textFill>
        </w:rPr>
        <w:t xml:space="preserve"> Policlínica Estadual da Região Sudoeste – Quirinópolis.</w:t>
      </w:r>
    </w:p>
    <w:p w14:paraId="61A2AF72">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CNES:</w:t>
      </w:r>
      <w:r>
        <w:rPr>
          <w:rFonts w:ascii="Arial" w:hAnsi="Arial" w:cs="Arial"/>
          <w:color w:val="000000" w:themeColor="text1"/>
          <w14:textFill>
            <w14:solidFill>
              <w14:schemeClr w14:val="tx1"/>
            </w14:solidFill>
          </w14:textFill>
        </w:rPr>
        <w:t xml:space="preserve"> 0622044 </w:t>
      </w:r>
    </w:p>
    <w:p w14:paraId="393187A6">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Endereço:</w:t>
      </w:r>
      <w:r>
        <w:rPr>
          <w:rFonts w:ascii="Arial" w:hAnsi="Arial" w:cs="Arial"/>
          <w:color w:val="000000" w:themeColor="text1"/>
          <w14:textFill>
            <w14:solidFill>
              <w14:schemeClr w14:val="tx1"/>
            </w14:solidFill>
          </w14:textFill>
        </w:rPr>
        <w:t xml:space="preserve"> Rua 03, nº 01, Residencial Atenas, Quirinópolis -GO, CEP. 75.862.584 </w:t>
      </w:r>
    </w:p>
    <w:p w14:paraId="3C2DBFF9">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Tipo de Unidade:</w:t>
      </w:r>
      <w:r>
        <w:rPr>
          <w:rFonts w:ascii="Arial" w:hAnsi="Arial" w:cs="Arial"/>
          <w:color w:val="000000" w:themeColor="text1"/>
          <w14:textFill>
            <w14:solidFill>
              <w14:schemeClr w14:val="tx1"/>
            </w14:solidFill>
          </w14:textFill>
        </w:rPr>
        <w:t xml:space="preserve"> Ambulatorial/Hemodiálise</w:t>
      </w:r>
    </w:p>
    <w:p w14:paraId="2C915524">
      <w:pPr>
        <w:spacing w:before="240" w:after="240" w:line="360" w:lineRule="auto"/>
        <w:ind w:left="-993" w:right="-852"/>
        <w:jc w:val="both"/>
        <w:rPr>
          <w:rFonts w:ascii="Arial" w:hAnsi="Arial" w:cs="Arial"/>
        </w:rPr>
      </w:pPr>
      <w:r>
        <w:rPr>
          <w:rFonts w:ascii="Arial" w:hAnsi="Arial" w:cs="Arial"/>
          <w:b/>
          <w:bCs/>
          <w:color w:val="000000" w:themeColor="text1"/>
          <w14:textFill>
            <w14:solidFill>
              <w14:schemeClr w14:val="tx1"/>
            </w14:solidFill>
          </w14:textFill>
        </w:rPr>
        <w:t>Funcionamento:</w:t>
      </w:r>
      <w:r>
        <w:rPr>
          <w:rFonts w:ascii="Arial" w:hAnsi="Arial" w:cs="Arial"/>
          <w:color w:val="000000" w:themeColor="text1"/>
          <w14:textFill>
            <w14:solidFill>
              <w14:schemeClr w14:val="tx1"/>
            </w14:solidFill>
          </w14:textFill>
        </w:rPr>
        <w:t xml:space="preserve"> Ambulatorial de segunda a sexta feira das 07:00 as 19:00 horas. Hemodiálise de segunda a sábado das 06:00 as 21:30 h.</w:t>
      </w:r>
    </w:p>
    <w:p w14:paraId="3CC07F00">
      <w:pPr>
        <w:pStyle w:val="3"/>
        <w:numPr>
          <w:ilvl w:val="0"/>
          <w:numId w:val="0"/>
        </w:numPr>
        <w:ind w:left="-993"/>
        <w:rPr>
          <w:rFonts w:ascii="Arial" w:hAnsi="Arial" w:cs="Arial"/>
          <w:b/>
          <w:bCs/>
          <w:color w:val="000000" w:themeColor="text1"/>
          <w:sz w:val="22"/>
          <w:szCs w:val="22"/>
          <w:shd w:val="clear" w:color="auto" w:fill="FFFFFF"/>
          <w14:textFill>
            <w14:solidFill>
              <w14:schemeClr w14:val="tx1"/>
            </w14:solidFill>
          </w14:textFill>
        </w:rPr>
      </w:pPr>
    </w:p>
    <w:p w14:paraId="353AD5E5">
      <w:pPr>
        <w:pStyle w:val="3"/>
        <w:numPr>
          <w:ilvl w:val="0"/>
          <w:numId w:val="0"/>
        </w:numPr>
        <w:ind w:left="-993"/>
        <w:rPr>
          <w:rFonts w:ascii="Arial" w:hAnsi="Arial" w:cs="Arial"/>
          <w:b/>
          <w:bCs/>
          <w:color w:val="C00000"/>
          <w:sz w:val="22"/>
          <w:szCs w:val="22"/>
          <w:shd w:val="clear" w:color="auto" w:fill="FFFFFF"/>
        </w:rPr>
      </w:pPr>
      <w:r>
        <w:rPr>
          <w:rFonts w:ascii="Arial" w:hAnsi="Arial" w:cs="Arial"/>
          <w:b/>
          <w:bCs/>
          <w:color w:val="0000FF"/>
          <w:sz w:val="22"/>
          <w:szCs w:val="22"/>
          <w:shd w:val="clear" w:color="auto" w:fill="FFFFFF"/>
        </w:rPr>
        <w:t xml:space="preserve">  </w:t>
      </w:r>
      <w:r>
        <w:rPr>
          <w:rFonts w:ascii="Arial" w:hAnsi="Arial" w:cs="Arial"/>
          <w:b/>
          <w:bCs/>
          <w:color w:val="auto"/>
          <w:sz w:val="22"/>
          <w:szCs w:val="22"/>
          <w:shd w:val="clear" w:color="auto" w:fill="FFFFFF"/>
        </w:rPr>
        <w:t xml:space="preserve"> </w:t>
      </w:r>
      <w:r>
        <w:rPr>
          <w:rFonts w:ascii="Arial" w:hAnsi="Arial" w:cs="Arial"/>
          <w:b/>
          <w:bCs/>
          <w:color w:val="C00000"/>
          <w:sz w:val="22"/>
          <w:szCs w:val="22"/>
          <w:shd w:val="clear" w:color="auto" w:fill="FFFFFF"/>
        </w:rPr>
        <w:t xml:space="preserve"> </w:t>
      </w:r>
      <w:bookmarkStart w:id="2" w:name="_Toc192161420"/>
      <w:r>
        <w:rPr>
          <w:rFonts w:hint="default" w:ascii="Arial" w:hAnsi="Arial" w:cs="Arial"/>
          <w:b/>
          <w:bCs/>
          <w:color w:val="C00000"/>
          <w:sz w:val="22"/>
          <w:szCs w:val="22"/>
          <w:shd w:val="clear" w:color="auto" w:fill="FFFFFF"/>
          <w:lang w:val="pt-BR"/>
        </w:rPr>
        <w:t xml:space="preserve">          </w:t>
      </w:r>
      <w:r>
        <w:rPr>
          <w:rFonts w:hint="default" w:ascii="Arial" w:hAnsi="Arial" w:cs="Arial"/>
          <w:b/>
          <w:bCs/>
          <w:color w:val="000000" w:themeColor="text1"/>
          <w:sz w:val="22"/>
          <w:szCs w:val="22"/>
          <w:shd w:val="clear" w:color="auto" w:fill="FFFFFF"/>
          <w:lang w:val="pt-BR"/>
          <w14:textFill>
            <w14:solidFill>
              <w14:schemeClr w14:val="tx1"/>
            </w14:solidFill>
          </w14:textFill>
        </w:rPr>
        <w:t xml:space="preserve">     </w:t>
      </w:r>
      <w:r>
        <w:rPr>
          <w:rFonts w:ascii="Arial" w:hAnsi="Arial" w:cs="Arial"/>
          <w:b/>
          <w:bCs/>
          <w:color w:val="000000" w:themeColor="text1"/>
          <w:sz w:val="22"/>
          <w:szCs w:val="22"/>
          <w:shd w:val="clear" w:color="auto" w:fill="FFFFFF"/>
          <w14:textFill>
            <w14:solidFill>
              <w14:schemeClr w14:val="tx1"/>
            </w14:solidFill>
          </w14:textFill>
        </w:rPr>
        <w:t>MELHORIAS</w:t>
      </w:r>
      <w:bookmarkEnd w:id="2"/>
      <w:r>
        <w:rPr>
          <w:rFonts w:ascii="Arial" w:hAnsi="Arial" w:cs="Arial"/>
          <w:b/>
          <w:bCs/>
          <w:color w:val="000000" w:themeColor="text1"/>
          <w:sz w:val="22"/>
          <w:szCs w:val="22"/>
          <w:shd w:val="clear" w:color="auto" w:fill="FFFFFF"/>
          <w14:textFill>
            <w14:solidFill>
              <w14:schemeClr w14:val="tx1"/>
            </w14:solidFill>
          </w14:textFill>
        </w:rPr>
        <w:t xml:space="preserve"> </w:t>
      </w:r>
    </w:p>
    <w:p w14:paraId="18933F50">
      <w:pPr>
        <w:pStyle w:val="4"/>
        <w:spacing w:after="0" w:line="360" w:lineRule="auto"/>
        <w:ind w:firstLine="851"/>
        <w:jc w:val="both"/>
      </w:pPr>
    </w:p>
    <w:p w14:paraId="4D49DD9D">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10EE3E98">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p>
    <w:p w14:paraId="1D94C9F3">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 manutenção predial é um conjunto de atividades realizadas para garantir a conservação, funcionamento e segurança de edifícios, prédios e instalações. Ela abrange serviços variados, incluindo:</w:t>
      </w:r>
    </w:p>
    <w:p w14:paraId="44CA2EC9">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p>
    <w:p w14:paraId="78277CF7">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Manutenção de sistemas elétricos, hidráulicos e mecânicos; </w:t>
      </w:r>
    </w:p>
    <w:p w14:paraId="68071044">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Reparos e substituições de equipamentos e componentes; </w:t>
      </w:r>
    </w:p>
    <w:p w14:paraId="33A2694C">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Limpeza e conservação de áreas comuns e externas; </w:t>
      </w:r>
    </w:p>
    <w:p w14:paraId="52ECFF81">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Inspeções regulares para prevenir problemas; </w:t>
      </w:r>
    </w:p>
    <w:p w14:paraId="11D5BA23">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Serviços de pintura e acabamento; </w:t>
      </w:r>
    </w:p>
    <w:p w14:paraId="29F6F0E0">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Manutenção de sistemas de segurança e vigilância; </w:t>
      </w:r>
    </w:p>
    <w:p w14:paraId="2BBC1A25">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Gestão de contrato com fornecedores e prestadores de serviço. </w:t>
      </w:r>
    </w:p>
    <w:p w14:paraId="3565EDD3">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p>
    <w:p w14:paraId="443729E7">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A manutenção predial é essencial para: </w:t>
      </w:r>
    </w:p>
    <w:p w14:paraId="12F7ED62">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p>
    <w:p w14:paraId="6807E03D">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Prolongar a vida útil dos edifícios e equipamentos; </w:t>
      </w:r>
    </w:p>
    <w:p w14:paraId="58C22454">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Garantir a segurança dos ocupantes; </w:t>
      </w:r>
    </w:p>
    <w:p w14:paraId="1CF1721A">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Manter o valor da propriedade; </w:t>
      </w:r>
    </w:p>
    <w:p w14:paraId="709ABCDC">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Assegurar o funcionamento eficiente dos sistemas;</w:t>
      </w:r>
    </w:p>
    <w:p w14:paraId="5E97E860">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 Proporcionar um ambiente saudável e confortável.</w:t>
      </w:r>
    </w:p>
    <w:p w14:paraId="1F627130">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p>
    <w:p w14:paraId="7D58801E">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Existem três tipos de manutenção predial: </w:t>
      </w:r>
    </w:p>
    <w:p w14:paraId="09A84544">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p>
    <w:p w14:paraId="4C534265">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1. Preventiva: visa evitar problemas futuros. </w:t>
      </w:r>
    </w:p>
    <w:p w14:paraId="411F964F">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2. Corretiva: soluciona problemas existentes. </w:t>
      </w:r>
    </w:p>
    <w:p w14:paraId="44C0DF54">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 Predial: mantém o edifício em condições ótimas.</w:t>
      </w:r>
    </w:p>
    <w:p w14:paraId="47273AB2">
      <w:pPr>
        <w:pStyle w:val="30"/>
        <w:spacing w:after="0" w:line="360" w:lineRule="auto"/>
        <w:ind w:left="0" w:leftChars="0" w:firstLine="440" w:firstLineChars="200"/>
        <w:jc w:val="both"/>
        <w:rPr>
          <w:rFonts w:ascii="Arial" w:hAnsi="Arial" w:cs="Arial"/>
          <w:color w:val="000000" w:themeColor="text1"/>
          <w14:textFill>
            <w14:solidFill>
              <w14:schemeClr w14:val="tx1"/>
            </w14:solidFill>
          </w14:textFill>
        </w:rPr>
      </w:pPr>
    </w:p>
    <w:p w14:paraId="6AE0D4FA">
      <w:pPr>
        <w:spacing w:after="0" w:line="360" w:lineRule="auto"/>
        <w:ind w:left="0" w:leftChars="0" w:firstLine="440" w:firstLineChars="2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 frequente manutenção nesses setores visa melhorar a funcionalidade dos espaços, refletindo o compromisso da Policlínica de Quirinópolis com a qualidade e o bem-estar de todos que utilizam suas instalações.</w:t>
      </w:r>
    </w:p>
    <w:p w14:paraId="171A67FC">
      <w:pPr>
        <w:spacing w:after="0" w:line="360" w:lineRule="auto"/>
        <w:ind w:firstLine="220" w:firstLineChars="100"/>
        <w:jc w:val="both"/>
        <w:rPr>
          <w:rFonts w:ascii="Arial" w:hAnsi="Arial" w:cs="Arial"/>
          <w:color w:val="000000" w:themeColor="text1"/>
          <w14:textFill>
            <w14:solidFill>
              <w14:schemeClr w14:val="tx1"/>
            </w14:solidFill>
          </w14:textFill>
        </w:rPr>
      </w:pPr>
    </w:p>
    <w:p w14:paraId="01D7FC0B">
      <w:pPr>
        <w:pStyle w:val="4"/>
        <w:spacing w:before="1" w:line="513" w:lineRule="auto"/>
        <w:rPr>
          <w:rFonts w:hint="default" w:ascii="Arial" w:hAnsi="Arial" w:cs="Arial"/>
        </w:rPr>
      </w:pPr>
      <w:r>
        <w:rPr>
          <w:rFonts w:hint="default" w:ascii="Arial" w:hAnsi="Arial" w:cs="Arial"/>
          <w:lang w:val="pt-BR"/>
        </w:rPr>
        <w:t>A</w:t>
      </w:r>
      <w:r>
        <w:rPr>
          <w:rFonts w:hint="default" w:ascii="Arial" w:hAnsi="Arial" w:cs="Arial"/>
        </w:rPr>
        <w:t xml:space="preserve">cesso as fotos, pelo link abaixo.       </w:t>
      </w:r>
    </w:p>
    <w:p w14:paraId="4595B615">
      <w:pPr>
        <w:spacing w:after="0" w:line="360" w:lineRule="auto"/>
        <w:ind w:firstLine="220" w:firstLineChars="100"/>
        <w:jc w:val="both"/>
        <w:rPr>
          <w:rFonts w:hint="default" w:ascii="Arial" w:hAnsi="Arial" w:cs="Arial"/>
          <w:color w:val="000000" w:themeColor="text1"/>
          <w14:textFill>
            <w14:solidFill>
              <w14:schemeClr w14:val="tx1"/>
            </w14:solidFill>
          </w14:textFill>
        </w:rPr>
      </w:pPr>
      <w:r>
        <w:rPr>
          <w:rFonts w:hint="default" w:ascii="Arial" w:hAnsi="Arial" w:cs="Arial"/>
        </w:rPr>
        <w:fldChar w:fldCharType="begin"/>
      </w:r>
      <w:r>
        <w:rPr>
          <w:rFonts w:hint="default" w:ascii="Arial" w:hAnsi="Arial" w:cs="Arial"/>
        </w:rPr>
        <w:instrText xml:space="preserve"> HYPERLINK "https://drive.google.com/drive/folders/1EQ1At4I5C4sBpdp4JtNcpJUWAuCFJIGT?usp=drive_link" </w:instrText>
      </w:r>
      <w:r>
        <w:rPr>
          <w:rFonts w:hint="default" w:ascii="Arial" w:hAnsi="Arial" w:cs="Arial"/>
        </w:rPr>
        <w:fldChar w:fldCharType="separate"/>
      </w:r>
      <w:r>
        <w:rPr>
          <w:rStyle w:val="11"/>
          <w:rFonts w:hint="default" w:ascii="Arial" w:hAnsi="Arial" w:cs="Arial"/>
        </w:rPr>
        <w:t>https://drive.google.com/drive/folders/1EQ1At4I5C4sBpdp4JtNcpJUWAuCFJIGT?usp=drive_link</w:t>
      </w:r>
      <w:r>
        <w:rPr>
          <w:rStyle w:val="13"/>
          <w:rFonts w:hint="default" w:ascii="Arial" w:hAnsi="Arial" w:cs="Arial"/>
        </w:rPr>
        <w:fldChar w:fldCharType="end"/>
      </w:r>
    </w:p>
    <w:p w14:paraId="70CCCB90"/>
    <w:p w14:paraId="5C2D689A">
      <w:pPr>
        <w:pStyle w:val="3"/>
        <w:numPr>
          <w:ilvl w:val="0"/>
          <w:numId w:val="0"/>
        </w:numPr>
        <w:ind w:firstLine="770" w:firstLineChars="350"/>
        <w:rPr>
          <w:rFonts w:ascii="Arial" w:hAnsi="Arial" w:cs="Arial"/>
          <w:b/>
          <w:bCs/>
          <w:color w:val="000000" w:themeColor="text1"/>
          <w:sz w:val="22"/>
          <w:szCs w:val="22"/>
          <w:shd w:val="clear" w:color="auto" w:fill="FFFFFF"/>
          <w14:textFill>
            <w14:solidFill>
              <w14:schemeClr w14:val="tx1"/>
            </w14:solidFill>
          </w14:textFill>
        </w:rPr>
      </w:pPr>
      <w:bookmarkStart w:id="3" w:name="_Toc192161421"/>
    </w:p>
    <w:p w14:paraId="78B31D18">
      <w:pPr>
        <w:pStyle w:val="3"/>
        <w:numPr>
          <w:ilvl w:val="0"/>
          <w:numId w:val="0"/>
        </w:numPr>
        <w:ind w:firstLine="770" w:firstLineChars="350"/>
        <w:rPr>
          <w:rFonts w:hint="default" w:ascii="Arial" w:hAnsi="Arial" w:cs="Arial"/>
          <w:b/>
          <w:bCs/>
          <w:color w:val="000000" w:themeColor="text1"/>
          <w:sz w:val="22"/>
          <w:szCs w:val="22"/>
          <w:shd w:val="clear" w:color="auto" w:fill="FFFFFF"/>
          <w:lang w:val="pt-BR"/>
          <w14:textFill>
            <w14:solidFill>
              <w14:schemeClr w14:val="tx1"/>
            </w14:solidFill>
          </w14:textFill>
        </w:rPr>
      </w:pPr>
      <w:r>
        <w:rPr>
          <w:rFonts w:ascii="Arial" w:hAnsi="Arial" w:cs="Arial"/>
          <w:b/>
          <w:bCs/>
          <w:color w:val="000000" w:themeColor="text1"/>
          <w:sz w:val="22"/>
          <w:szCs w:val="22"/>
          <w:shd w:val="clear" w:color="auto" w:fill="FFFFFF"/>
          <w14:textFill>
            <w14:solidFill>
              <w14:schemeClr w14:val="tx1"/>
            </w14:solidFill>
          </w14:textFill>
        </w:rPr>
        <w:t>A</w:t>
      </w:r>
      <w:bookmarkEnd w:id="3"/>
      <w:r>
        <w:rPr>
          <w:rFonts w:hint="default" w:ascii="Arial" w:hAnsi="Arial" w:cs="Arial"/>
          <w:b/>
          <w:bCs/>
          <w:color w:val="000000" w:themeColor="text1"/>
          <w:sz w:val="22"/>
          <w:szCs w:val="22"/>
          <w:shd w:val="clear" w:color="auto" w:fill="FFFFFF"/>
          <w:lang w:val="pt-BR"/>
          <w14:textFill>
            <w14:solidFill>
              <w14:schemeClr w14:val="tx1"/>
            </w14:solidFill>
          </w14:textFill>
        </w:rPr>
        <w:t>LMOXARIFADO</w:t>
      </w:r>
    </w:p>
    <w:p w14:paraId="594BAF90"/>
    <w:p w14:paraId="7C894572">
      <w:pPr>
        <w:keepNext w:val="0"/>
        <w:keepLines w:val="0"/>
        <w:widowControl/>
        <w:suppressLineNumbers w:val="0"/>
        <w:spacing w:line="360" w:lineRule="auto"/>
        <w:ind w:left="0" w:leftChars="0" w:firstLine="440" w:firstLineChars="200"/>
        <w:jc w:val="left"/>
        <w:rPr>
          <w:rFonts w:hint="default" w:ascii="Arial" w:hAnsi="Arial" w:cs="Arial"/>
          <w:sz w:val="22"/>
          <w:szCs w:val="22"/>
        </w:rPr>
      </w:pPr>
      <w:r>
        <w:rPr>
          <w:rFonts w:hint="default" w:ascii="Arial" w:hAnsi="Arial" w:eastAsia="SimSun" w:cs="Arial"/>
          <w:color w:val="000000"/>
          <w:kern w:val="0"/>
          <w:sz w:val="22"/>
          <w:szCs w:val="22"/>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247F2388">
      <w:pPr>
        <w:spacing w:line="360" w:lineRule="auto"/>
        <w:rPr>
          <w:rFonts w:hint="default" w:ascii="Arial" w:hAnsi="Arial" w:cs="Arial"/>
          <w:sz w:val="22"/>
          <w:szCs w:val="22"/>
        </w:rPr>
      </w:pPr>
    </w:p>
    <w:p w14:paraId="18137C61">
      <w:pPr>
        <w:keepNext w:val="0"/>
        <w:keepLines w:val="0"/>
        <w:widowControl/>
        <w:suppressLineNumbers w:val="0"/>
        <w:jc w:val="left"/>
        <w:rPr>
          <w:b w:val="0"/>
          <w:bCs w:val="0"/>
        </w:rPr>
      </w:pPr>
      <w:r>
        <w:rPr>
          <w:rFonts w:ascii="Arial" w:hAnsi="Arial" w:eastAsia="SimSun" w:cs="Arial"/>
          <w:b w:val="0"/>
          <w:bCs w:val="0"/>
          <w:color w:val="000000"/>
          <w:kern w:val="0"/>
          <w:sz w:val="22"/>
          <w:szCs w:val="22"/>
          <w:lang w:val="en-US" w:eastAsia="zh-CN" w:bidi="ar"/>
        </w:rPr>
        <w:t>ATIVIDADES REALIZADAS</w:t>
      </w:r>
    </w:p>
    <w:p w14:paraId="353B1E3C">
      <w:pPr>
        <w:spacing w:line="360" w:lineRule="auto"/>
        <w:rPr>
          <w:rFonts w:hint="default" w:ascii="Arial" w:hAnsi="Arial" w:cs="Arial"/>
          <w:sz w:val="22"/>
          <w:szCs w:val="22"/>
        </w:rPr>
      </w:pPr>
    </w:p>
    <w:p w14:paraId="59311483">
      <w:pPr>
        <w:keepNext w:val="0"/>
        <w:keepLines w:val="0"/>
        <w:widowControl/>
        <w:suppressLineNumbers w:val="0"/>
        <w:spacing w:line="360" w:lineRule="auto"/>
        <w:jc w:val="left"/>
        <w:rPr>
          <w:rFonts w:ascii="Arial" w:hAnsi="Arial" w:eastAsia="SimSun" w:cs="Arial"/>
          <w:color w:val="000000"/>
          <w:kern w:val="0"/>
          <w:sz w:val="22"/>
          <w:szCs w:val="22"/>
          <w:lang w:val="en-US" w:eastAsia="zh-CN" w:bidi="ar"/>
        </w:rPr>
      </w:pPr>
      <w:r>
        <w:rPr>
          <w:rFonts w:ascii="Arial" w:hAnsi="Arial" w:eastAsia="SimSun" w:cs="Arial"/>
          <w:color w:val="000000"/>
          <w:kern w:val="0"/>
          <w:sz w:val="22"/>
          <w:szCs w:val="22"/>
          <w:lang w:val="en-US" w:eastAsia="zh-CN" w:bidi="ar"/>
        </w:rPr>
        <w:t xml:space="preserve">As atividades principais realizadas no almoxarifado incluem: </w:t>
      </w:r>
    </w:p>
    <w:p w14:paraId="0CDCB22B">
      <w:pPr>
        <w:keepNext w:val="0"/>
        <w:keepLines w:val="0"/>
        <w:widowControl/>
        <w:suppressLineNumbers w:val="0"/>
        <w:spacing w:line="360" w:lineRule="auto"/>
        <w:jc w:val="left"/>
        <w:rPr>
          <w:rFonts w:ascii="Arial" w:hAnsi="Arial" w:eastAsia="SimSun" w:cs="Arial"/>
          <w:color w:val="000000"/>
          <w:kern w:val="0"/>
          <w:sz w:val="22"/>
          <w:szCs w:val="22"/>
          <w:lang w:val="en-US" w:eastAsia="zh-CN" w:bidi="ar"/>
        </w:rPr>
      </w:pPr>
    </w:p>
    <w:p w14:paraId="25A4A3D6">
      <w:pPr>
        <w:keepNext w:val="0"/>
        <w:keepLines w:val="0"/>
        <w:widowControl/>
        <w:suppressLineNumbers w:val="0"/>
        <w:spacing w:line="360" w:lineRule="auto"/>
        <w:ind w:left="0" w:leftChars="0" w:firstLine="439" w:firstLineChars="244"/>
        <w:jc w:val="both"/>
        <w:rPr>
          <w:rFonts w:hint="default" w:ascii="Arial" w:hAnsi="Arial" w:eastAsia="SimSun" w:cs="Arial"/>
          <w:color w:val="000000"/>
          <w:kern w:val="0"/>
          <w:sz w:val="22"/>
          <w:szCs w:val="22"/>
          <w:lang w:val="en-US" w:eastAsia="zh-CN" w:bidi="ar"/>
        </w:rPr>
      </w:pPr>
      <w:r>
        <w:rPr>
          <w:rFonts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Recebimento de Materiais</w:t>
      </w:r>
      <w:r>
        <w:rPr>
          <w:rFonts w:hint="default" w:ascii="Arial" w:hAnsi="Arial" w:eastAsia="SimSun" w:cs="Arial"/>
          <w:color w:val="000000"/>
          <w:kern w:val="0"/>
          <w:sz w:val="22"/>
          <w:szCs w:val="22"/>
          <w:lang w:val="en-US" w:eastAsia="zh-CN" w:bidi="ar"/>
        </w:rPr>
        <w:t xml:space="preserve">: Verificação da conformidade dos itens recebidos com os pedidos de compra e inspeção da qualidade dos produtos. </w:t>
      </w:r>
    </w:p>
    <w:p w14:paraId="08F9403C">
      <w:pPr>
        <w:keepNext w:val="0"/>
        <w:keepLines w:val="0"/>
        <w:widowControl/>
        <w:suppressLineNumbers w:val="0"/>
        <w:spacing w:line="360" w:lineRule="auto"/>
        <w:ind w:left="0" w:leftChars="0" w:firstLine="536" w:firstLineChars="244"/>
        <w:jc w:val="both"/>
        <w:rPr>
          <w:rFonts w:hint="default" w:ascii="Arial" w:hAnsi="Arial" w:eastAsia="SimSun" w:cs="Arial"/>
          <w:color w:val="000000"/>
          <w:kern w:val="0"/>
          <w:sz w:val="22"/>
          <w:szCs w:val="22"/>
          <w:lang w:val="en-US" w:eastAsia="zh-CN" w:bidi="ar"/>
        </w:rPr>
      </w:pPr>
    </w:p>
    <w:p w14:paraId="07470C12">
      <w:pPr>
        <w:keepNext w:val="0"/>
        <w:keepLines w:val="0"/>
        <w:widowControl/>
        <w:suppressLineNumbers w:val="0"/>
        <w:spacing w:line="360" w:lineRule="auto"/>
        <w:ind w:left="0" w:leftChars="0" w:firstLine="439" w:firstLineChars="244"/>
        <w:jc w:val="both"/>
        <w:rPr>
          <w:rFonts w:hint="default" w:ascii="Arial" w:hAnsi="Arial" w:eastAsia="SimSun" w:cs="Arial"/>
          <w:color w:val="000000"/>
          <w:kern w:val="0"/>
          <w:sz w:val="22"/>
          <w:szCs w:val="22"/>
          <w:lang w:val="en-US" w:eastAsia="zh-CN" w:bidi="ar"/>
        </w:rPr>
      </w:pPr>
      <w:r>
        <w:rPr>
          <w:rFonts w:hint="default"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Armazenamento</w:t>
      </w:r>
      <w:r>
        <w:rPr>
          <w:rFonts w:hint="default" w:ascii="Arial" w:hAnsi="Arial" w:eastAsia="SimSun" w:cs="Arial"/>
          <w:color w:val="000000"/>
          <w:kern w:val="0"/>
          <w:sz w:val="22"/>
          <w:szCs w:val="22"/>
          <w:lang w:val="en-US" w:eastAsia="zh-CN" w:bidi="ar"/>
        </w:rPr>
        <w:t xml:space="preserve">: Organização dos materiais de acordo com o tipo, data de validade, e frequência de uso, para facilitar o acesso e a gestão do estoque. </w:t>
      </w:r>
    </w:p>
    <w:p w14:paraId="23B81859">
      <w:pPr>
        <w:keepNext w:val="0"/>
        <w:keepLines w:val="0"/>
        <w:widowControl/>
        <w:suppressLineNumbers w:val="0"/>
        <w:spacing w:line="360" w:lineRule="auto"/>
        <w:ind w:left="0" w:leftChars="0" w:firstLine="536" w:firstLineChars="244"/>
        <w:jc w:val="both"/>
        <w:rPr>
          <w:rFonts w:hint="default" w:ascii="Arial" w:hAnsi="Arial" w:eastAsia="SimSun" w:cs="Arial"/>
          <w:color w:val="000000"/>
          <w:kern w:val="0"/>
          <w:sz w:val="22"/>
          <w:szCs w:val="22"/>
          <w:lang w:val="en-US" w:eastAsia="zh-CN" w:bidi="ar"/>
        </w:rPr>
      </w:pPr>
    </w:p>
    <w:p w14:paraId="40E7DDFB">
      <w:pPr>
        <w:keepNext w:val="0"/>
        <w:keepLines w:val="0"/>
        <w:widowControl/>
        <w:suppressLineNumbers w:val="0"/>
        <w:spacing w:line="360" w:lineRule="auto"/>
        <w:ind w:left="0" w:leftChars="0" w:firstLine="439" w:firstLineChars="244"/>
        <w:jc w:val="both"/>
        <w:rPr>
          <w:rFonts w:hint="default" w:ascii="Arial" w:hAnsi="Arial" w:eastAsia="SimSun" w:cs="Arial"/>
          <w:color w:val="000000"/>
          <w:kern w:val="0"/>
          <w:sz w:val="22"/>
          <w:szCs w:val="22"/>
          <w:lang w:val="en-US" w:eastAsia="zh-CN" w:bidi="ar"/>
        </w:rPr>
      </w:pPr>
      <w:r>
        <w:rPr>
          <w:rFonts w:hint="default"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Controle de Estoque</w:t>
      </w:r>
      <w:r>
        <w:rPr>
          <w:rFonts w:hint="default" w:ascii="Arial" w:hAnsi="Arial" w:eastAsia="SimSun" w:cs="Arial"/>
          <w:color w:val="000000"/>
          <w:kern w:val="0"/>
          <w:sz w:val="22"/>
          <w:szCs w:val="22"/>
          <w:lang w:val="en-US" w:eastAsia="zh-CN" w:bidi="ar"/>
        </w:rPr>
        <w:t xml:space="preserve">: Monitoramento constante do inventário, registrando entradas e saídas de materiais, e mantendo um nível adequado de suprimentos para evitar faltas. </w:t>
      </w:r>
    </w:p>
    <w:p w14:paraId="1467490A">
      <w:pPr>
        <w:keepNext w:val="0"/>
        <w:keepLines w:val="0"/>
        <w:widowControl/>
        <w:suppressLineNumbers w:val="0"/>
        <w:spacing w:line="360" w:lineRule="auto"/>
        <w:ind w:left="0" w:leftChars="0" w:firstLine="536" w:firstLineChars="244"/>
        <w:jc w:val="both"/>
        <w:rPr>
          <w:rFonts w:hint="default" w:ascii="Arial" w:hAnsi="Arial" w:eastAsia="SimSun" w:cs="Arial"/>
          <w:color w:val="000000"/>
          <w:kern w:val="0"/>
          <w:sz w:val="22"/>
          <w:szCs w:val="22"/>
          <w:lang w:val="en-US" w:eastAsia="zh-CN" w:bidi="ar"/>
        </w:rPr>
      </w:pPr>
    </w:p>
    <w:p w14:paraId="04D83470">
      <w:pPr>
        <w:keepNext w:val="0"/>
        <w:keepLines w:val="0"/>
        <w:widowControl/>
        <w:suppressLineNumbers w:val="0"/>
        <w:spacing w:line="360" w:lineRule="auto"/>
        <w:ind w:left="0" w:leftChars="0" w:firstLine="439" w:firstLineChars="244"/>
        <w:jc w:val="both"/>
        <w:rPr>
          <w:rFonts w:hint="default" w:ascii="Arial" w:hAnsi="Arial" w:eastAsia="SimSun" w:cs="Arial"/>
          <w:color w:val="000000"/>
          <w:kern w:val="0"/>
          <w:sz w:val="22"/>
          <w:szCs w:val="22"/>
          <w:lang w:val="en-US" w:eastAsia="zh-CN" w:bidi="ar"/>
        </w:rPr>
      </w:pPr>
      <w:r>
        <w:rPr>
          <w:rFonts w:hint="default"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Distribuição de Materiais</w:t>
      </w:r>
      <w:r>
        <w:rPr>
          <w:rFonts w:hint="default" w:ascii="Arial" w:hAnsi="Arial" w:eastAsia="SimSun" w:cs="Arial"/>
          <w:color w:val="000000"/>
          <w:kern w:val="0"/>
          <w:sz w:val="22"/>
          <w:szCs w:val="22"/>
          <w:lang w:val="en-US" w:eastAsia="zh-CN" w:bidi="ar"/>
        </w:rPr>
        <w:t xml:space="preserve">: Separação e entrega de materiais aos setores solicitantes, de acordo com as demandas diárias e emergenciais. </w:t>
      </w:r>
    </w:p>
    <w:p w14:paraId="65153803">
      <w:pPr>
        <w:keepNext w:val="0"/>
        <w:keepLines w:val="0"/>
        <w:widowControl/>
        <w:suppressLineNumbers w:val="0"/>
        <w:spacing w:line="360" w:lineRule="auto"/>
        <w:ind w:left="0" w:leftChars="0" w:firstLine="536" w:firstLineChars="244"/>
        <w:jc w:val="both"/>
        <w:rPr>
          <w:rFonts w:hint="default" w:ascii="Arial" w:hAnsi="Arial" w:eastAsia="SimSun" w:cs="Arial"/>
          <w:color w:val="000000"/>
          <w:kern w:val="0"/>
          <w:sz w:val="22"/>
          <w:szCs w:val="22"/>
          <w:lang w:val="en-US" w:eastAsia="zh-CN" w:bidi="ar"/>
        </w:rPr>
      </w:pPr>
    </w:p>
    <w:p w14:paraId="7D75EA0C">
      <w:pPr>
        <w:keepNext w:val="0"/>
        <w:keepLines w:val="0"/>
        <w:widowControl/>
        <w:suppressLineNumbers w:val="0"/>
        <w:spacing w:line="360" w:lineRule="auto"/>
        <w:ind w:left="0" w:leftChars="0" w:firstLine="439" w:firstLineChars="244"/>
        <w:jc w:val="both"/>
      </w:pPr>
      <w:r>
        <w:rPr>
          <w:rFonts w:hint="default"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Controle de Validade</w:t>
      </w:r>
      <w:r>
        <w:rPr>
          <w:rFonts w:hint="default" w:ascii="Arial" w:hAnsi="Arial" w:eastAsia="SimSun" w:cs="Arial"/>
          <w:color w:val="000000"/>
          <w:kern w:val="0"/>
          <w:sz w:val="22"/>
          <w:szCs w:val="22"/>
          <w:lang w:val="en-US" w:eastAsia="zh-CN" w:bidi="ar"/>
        </w:rPr>
        <w:t xml:space="preserve">: Gestão da validade dos produtos e retirada de itens próximos ao </w:t>
      </w:r>
    </w:p>
    <w:p w14:paraId="78FA5BAC">
      <w:pPr>
        <w:keepNext w:val="0"/>
        <w:keepLines w:val="0"/>
        <w:widowControl/>
        <w:suppressLineNumbers w:val="0"/>
        <w:spacing w:line="360" w:lineRule="auto"/>
        <w:ind w:left="0" w:leftChars="0" w:firstLine="536" w:firstLineChars="244"/>
        <w:jc w:val="both"/>
        <w:rPr>
          <w:rFonts w:hint="default" w:ascii="Arial" w:hAnsi="Arial" w:eastAsia="SimSun" w:cs="Arial"/>
          <w:color w:val="000000"/>
          <w:kern w:val="0"/>
          <w:sz w:val="22"/>
          <w:szCs w:val="22"/>
          <w:lang w:val="en-US" w:eastAsia="zh-CN" w:bidi="ar"/>
        </w:rPr>
      </w:pPr>
      <w:r>
        <w:rPr>
          <w:rFonts w:hint="default" w:ascii="Arial" w:hAnsi="Arial" w:eastAsia="SimSun" w:cs="Arial"/>
          <w:color w:val="000000"/>
          <w:kern w:val="0"/>
          <w:sz w:val="22"/>
          <w:szCs w:val="22"/>
          <w:lang w:val="en-US" w:eastAsia="zh-CN" w:bidi="ar"/>
        </w:rPr>
        <w:t>vencimento para evitar desperdícios e garantir a segurança dos usuários.</w:t>
      </w:r>
    </w:p>
    <w:p w14:paraId="60DA168D">
      <w:pPr>
        <w:keepNext w:val="0"/>
        <w:keepLines w:val="0"/>
        <w:widowControl/>
        <w:suppressLineNumbers w:val="0"/>
        <w:spacing w:line="360" w:lineRule="auto"/>
        <w:jc w:val="left"/>
        <w:rPr>
          <w:rFonts w:hint="default" w:ascii="Arial" w:hAnsi="Arial" w:eastAsia="SimSun" w:cs="Arial"/>
          <w:color w:val="000000"/>
          <w:kern w:val="0"/>
          <w:sz w:val="22"/>
          <w:szCs w:val="22"/>
          <w:lang w:val="en-US" w:eastAsia="zh-CN" w:bidi="ar"/>
        </w:rPr>
      </w:pPr>
    </w:p>
    <w:p w14:paraId="42124BED">
      <w:pPr>
        <w:keepNext w:val="0"/>
        <w:keepLines w:val="0"/>
        <w:widowControl/>
        <w:suppressLineNumbers w:val="0"/>
        <w:ind w:firstLine="442" w:firstLineChars="200"/>
        <w:jc w:val="left"/>
      </w:pPr>
      <w:r>
        <w:rPr>
          <w:rFonts w:ascii="Arial" w:hAnsi="Arial" w:eastAsia="SimSun" w:cs="Arial"/>
          <w:b/>
          <w:bCs/>
          <w:color w:val="000000"/>
          <w:kern w:val="0"/>
          <w:sz w:val="22"/>
          <w:szCs w:val="22"/>
          <w:lang w:val="en-US" w:eastAsia="zh-CN" w:bidi="ar"/>
        </w:rPr>
        <w:t>AÇÕES</w:t>
      </w:r>
    </w:p>
    <w:p w14:paraId="00949CF9">
      <w:pPr>
        <w:keepNext w:val="0"/>
        <w:keepLines w:val="0"/>
        <w:widowControl/>
        <w:suppressLineNumbers w:val="0"/>
        <w:spacing w:line="360" w:lineRule="auto"/>
        <w:jc w:val="left"/>
        <w:rPr>
          <w:rFonts w:hint="default" w:ascii="Arial" w:hAnsi="Arial" w:eastAsia="SimSun" w:cs="Arial"/>
          <w:color w:val="000000"/>
          <w:kern w:val="0"/>
          <w:sz w:val="22"/>
          <w:szCs w:val="22"/>
          <w:lang w:val="en-US" w:eastAsia="zh-CN" w:bidi="ar"/>
        </w:rPr>
      </w:pPr>
    </w:p>
    <w:p w14:paraId="6F205ADE">
      <w:pPr>
        <w:keepNext w:val="0"/>
        <w:keepLines w:val="0"/>
        <w:widowControl/>
        <w:suppressLineNumbers w:val="0"/>
        <w:spacing w:line="360" w:lineRule="auto"/>
        <w:jc w:val="both"/>
        <w:rPr>
          <w:rFonts w:hint="default" w:ascii="Arial" w:hAnsi="Arial" w:eastAsia="SimSun" w:cs="Arial"/>
          <w:color w:val="000000"/>
          <w:kern w:val="0"/>
          <w:sz w:val="22"/>
          <w:szCs w:val="22"/>
          <w:lang w:val="en-US" w:eastAsia="zh-CN" w:bidi="ar"/>
        </w:rPr>
      </w:pPr>
      <w:r>
        <w:rPr>
          <w:rFonts w:hint="default" w:ascii="Arial" w:hAnsi="Arial" w:eastAsia="SimSun" w:cs="Arial"/>
          <w:color w:val="000000"/>
          <w:kern w:val="0"/>
          <w:sz w:val="22"/>
          <w:szCs w:val="22"/>
          <w:lang w:val="en-US" w:eastAsia="zh-CN" w:bidi="ar"/>
        </w:rPr>
        <w:t xml:space="preserve">Após a contratação do novo almoxarife, foram feitas algumas mudanças no setor do almoxarifado visando a melhoria nos processos do setor bem como a organização e rotina do mesmo, as salas ocupadas pelos materiais do almoxarifado passaram por organização, contabilização e separação de materiais vencidos e próximo do vencimento, e com isso o respectivo descarte correto dos </w:t>
      </w:r>
      <w:r>
        <w:rPr>
          <w:rFonts w:hint="default" w:ascii="Arial" w:hAnsi="Arial" w:eastAsia="SimSun" w:cs="Arial"/>
          <w:color w:val="000000"/>
          <w:kern w:val="0"/>
          <w:sz w:val="22"/>
          <w:szCs w:val="22"/>
          <w:lang w:val="pt-BR" w:eastAsia="zh-CN" w:bidi="ar"/>
        </w:rPr>
        <w:t>itens</w:t>
      </w:r>
      <w:r>
        <w:rPr>
          <w:rFonts w:hint="default" w:ascii="Arial" w:hAnsi="Arial" w:eastAsia="SimSun" w:cs="Arial"/>
          <w:color w:val="000000"/>
          <w:kern w:val="0"/>
          <w:sz w:val="22"/>
          <w:szCs w:val="22"/>
          <w:lang w:val="en-US" w:eastAsia="zh-CN" w:bidi="ar"/>
        </w:rPr>
        <w:t xml:space="preserve"> fora da validade. </w:t>
      </w:r>
    </w:p>
    <w:p w14:paraId="7BE02A0D">
      <w:pPr>
        <w:keepNext w:val="0"/>
        <w:keepLines w:val="0"/>
        <w:widowControl/>
        <w:suppressLineNumbers w:val="0"/>
        <w:spacing w:line="360" w:lineRule="auto"/>
        <w:jc w:val="both"/>
        <w:rPr>
          <w:rFonts w:hint="default" w:ascii="Arial" w:hAnsi="Arial" w:eastAsia="SimSun" w:cs="Arial"/>
          <w:color w:val="000000"/>
          <w:kern w:val="0"/>
          <w:sz w:val="22"/>
          <w:szCs w:val="22"/>
          <w:lang w:val="en-US" w:eastAsia="zh-CN" w:bidi="ar"/>
        </w:rPr>
      </w:pPr>
    </w:p>
    <w:p w14:paraId="1764B7BB">
      <w:pPr>
        <w:keepNext w:val="0"/>
        <w:keepLines w:val="0"/>
        <w:widowControl/>
        <w:suppressLineNumbers w:val="0"/>
        <w:spacing w:line="360" w:lineRule="auto"/>
        <w:jc w:val="both"/>
        <w:rPr>
          <w:rFonts w:hint="default" w:ascii="Arial" w:hAnsi="Arial" w:eastAsia="SimSun" w:cs="Arial"/>
          <w:color w:val="000000"/>
          <w:kern w:val="0"/>
          <w:sz w:val="22"/>
          <w:szCs w:val="22"/>
          <w:lang w:val="en-US" w:eastAsia="zh-CN" w:bidi="ar"/>
        </w:rPr>
      </w:pPr>
      <w:r>
        <w:rPr>
          <w:rFonts w:hint="default" w:ascii="Arial" w:hAnsi="Arial" w:eastAsia="SimSun" w:cs="Arial"/>
          <w:color w:val="000000"/>
          <w:kern w:val="0"/>
          <w:sz w:val="22"/>
          <w:szCs w:val="22"/>
          <w:lang w:val="en-US" w:eastAsia="zh-CN" w:bidi="ar"/>
        </w:rPr>
        <w:t xml:space="preserve">Os materiais armazenados nas salas foram planilhados para ter um melhor controle de estoque e validade dos </w:t>
      </w:r>
      <w:r>
        <w:rPr>
          <w:rFonts w:hint="default" w:ascii="Arial" w:hAnsi="Arial" w:eastAsia="SimSun" w:cs="Arial"/>
          <w:color w:val="000000"/>
          <w:kern w:val="0"/>
          <w:sz w:val="22"/>
          <w:szCs w:val="22"/>
          <w:lang w:val="pt-BR" w:eastAsia="zh-CN" w:bidi="ar"/>
        </w:rPr>
        <w:t>itens</w:t>
      </w:r>
      <w:r>
        <w:rPr>
          <w:rFonts w:hint="default" w:ascii="Arial" w:hAnsi="Arial" w:eastAsia="SimSun" w:cs="Arial"/>
          <w:color w:val="000000"/>
          <w:kern w:val="0"/>
          <w:sz w:val="22"/>
          <w:szCs w:val="22"/>
          <w:lang w:val="en-US" w:eastAsia="zh-CN" w:bidi="ar"/>
        </w:rPr>
        <w:t xml:space="preserve">, passando a obter uma rastreabilidade de consumo dos </w:t>
      </w:r>
      <w:r>
        <w:rPr>
          <w:rFonts w:hint="default" w:ascii="Arial" w:hAnsi="Arial" w:eastAsia="SimSun" w:cs="Arial"/>
          <w:color w:val="000000"/>
          <w:kern w:val="0"/>
          <w:sz w:val="22"/>
          <w:szCs w:val="22"/>
          <w:lang w:val="pt-BR" w:eastAsia="zh-CN" w:bidi="ar"/>
        </w:rPr>
        <w:t>itens</w:t>
      </w:r>
      <w:r>
        <w:rPr>
          <w:rFonts w:hint="default" w:ascii="Arial" w:hAnsi="Arial" w:eastAsia="SimSun" w:cs="Arial"/>
          <w:color w:val="000000"/>
          <w:kern w:val="0"/>
          <w:sz w:val="22"/>
          <w:szCs w:val="22"/>
          <w:lang w:val="en-US" w:eastAsia="zh-CN" w:bidi="ar"/>
        </w:rPr>
        <w:t xml:space="preserve"> a fim de evitar compras desnecessárias. </w:t>
      </w:r>
    </w:p>
    <w:p w14:paraId="30C0EEAA">
      <w:pPr>
        <w:keepNext w:val="0"/>
        <w:keepLines w:val="0"/>
        <w:widowControl/>
        <w:suppressLineNumbers w:val="0"/>
        <w:spacing w:line="360" w:lineRule="auto"/>
        <w:jc w:val="left"/>
        <w:rPr>
          <w:rFonts w:hint="default" w:ascii="Arial" w:hAnsi="Arial" w:eastAsia="SimSun" w:cs="Arial"/>
          <w:color w:val="000000"/>
          <w:kern w:val="0"/>
          <w:sz w:val="22"/>
          <w:szCs w:val="22"/>
          <w:lang w:val="en-US" w:eastAsia="zh-CN" w:bidi="ar"/>
        </w:rPr>
      </w:pPr>
    </w:p>
    <w:p w14:paraId="35D2A774">
      <w:pPr>
        <w:keepNext w:val="0"/>
        <w:keepLines w:val="0"/>
        <w:widowControl/>
        <w:suppressLineNumbers w:val="0"/>
        <w:spacing w:line="360" w:lineRule="auto"/>
        <w:jc w:val="both"/>
        <w:rPr>
          <w:rFonts w:hint="default" w:ascii="Arial" w:hAnsi="Arial" w:eastAsia="SimSun" w:cs="Arial"/>
          <w:color w:val="000000"/>
          <w:kern w:val="0"/>
          <w:sz w:val="22"/>
          <w:szCs w:val="22"/>
          <w:lang w:val="en-US" w:eastAsia="zh-CN" w:bidi="ar"/>
        </w:rPr>
      </w:pPr>
      <w:r>
        <w:rPr>
          <w:rFonts w:hint="default" w:ascii="Arial" w:hAnsi="Arial" w:eastAsia="SimSun" w:cs="Arial"/>
          <w:color w:val="000000"/>
          <w:kern w:val="0"/>
          <w:sz w:val="22"/>
          <w:szCs w:val="22"/>
          <w:lang w:val="en-US" w:eastAsia="zh-CN" w:bidi="ar"/>
        </w:rPr>
        <w:t xml:space="preserve">Os processos de compra passaram a se encerrar no ultimo dia de cada mês, para que o material solicitado seja cotado e entregue dentro do mesmo mês. As solicitações de compra dos setores agora passam por uma análise criteriosa que evita pedidos em duplicidade e compara com o consumo evitando pedido desnecessário. </w:t>
      </w:r>
    </w:p>
    <w:p w14:paraId="5C50255A">
      <w:pPr>
        <w:keepNext w:val="0"/>
        <w:keepLines w:val="0"/>
        <w:widowControl/>
        <w:suppressLineNumbers w:val="0"/>
        <w:spacing w:line="360" w:lineRule="auto"/>
        <w:jc w:val="both"/>
        <w:rPr>
          <w:rFonts w:hint="default" w:ascii="Arial" w:hAnsi="Arial" w:eastAsia="SimSun" w:cs="Arial"/>
          <w:color w:val="000000"/>
          <w:kern w:val="0"/>
          <w:sz w:val="22"/>
          <w:szCs w:val="22"/>
          <w:lang w:val="en-US" w:eastAsia="zh-CN" w:bidi="ar"/>
        </w:rPr>
      </w:pPr>
    </w:p>
    <w:p w14:paraId="7952AFDF">
      <w:pPr>
        <w:keepNext w:val="0"/>
        <w:keepLines w:val="0"/>
        <w:widowControl/>
        <w:suppressLineNumbers w:val="0"/>
        <w:spacing w:line="360" w:lineRule="auto"/>
        <w:ind w:left="0" w:leftChars="0" w:firstLine="440" w:firstLineChars="200"/>
        <w:jc w:val="both"/>
        <w:rPr>
          <w:rFonts w:hint="default" w:ascii="Arial" w:hAnsi="Arial" w:eastAsia="SimSun" w:cs="Arial"/>
          <w:color w:val="000000"/>
          <w:kern w:val="0"/>
          <w:sz w:val="22"/>
          <w:szCs w:val="22"/>
          <w:lang w:val="en-US" w:eastAsia="zh-CN" w:bidi="ar"/>
        </w:rPr>
      </w:pPr>
      <w:r>
        <w:rPr>
          <w:rFonts w:hint="default" w:ascii="Arial" w:hAnsi="Arial" w:eastAsia="SimSun" w:cs="Arial"/>
          <w:color w:val="000000"/>
          <w:kern w:val="0"/>
          <w:sz w:val="22"/>
          <w:szCs w:val="22"/>
          <w:lang w:val="en-US" w:eastAsia="zh-CN" w:bidi="ar"/>
        </w:rPr>
        <w:t xml:space="preserve">A sala do almoxarifado central passou por uma notável organização e parcial mudança de layout , priorizando a identificação de todos os </w:t>
      </w:r>
      <w:r>
        <w:rPr>
          <w:rFonts w:hint="default" w:ascii="Arial" w:hAnsi="Arial" w:eastAsia="SimSun" w:cs="Arial"/>
          <w:color w:val="000000"/>
          <w:kern w:val="0"/>
          <w:sz w:val="22"/>
          <w:szCs w:val="22"/>
          <w:lang w:val="pt-BR" w:eastAsia="zh-CN" w:bidi="ar"/>
        </w:rPr>
        <w:t>itens</w:t>
      </w:r>
      <w:r>
        <w:rPr>
          <w:rFonts w:hint="default" w:ascii="Arial" w:hAnsi="Arial" w:eastAsia="SimSun" w:cs="Arial"/>
          <w:color w:val="000000"/>
          <w:kern w:val="0"/>
          <w:sz w:val="22"/>
          <w:szCs w:val="22"/>
          <w:lang w:val="en-US" w:eastAsia="zh-CN" w:bidi="ar"/>
        </w:rPr>
        <w:t xml:space="preserve">, evidenciando os de maior consumo, implantamos a etiqueta de rotatividade, que consiste em identificar código, lote, validade e quantidade, onde o operador deverá informar na etiqueta a cada movimento do </w:t>
      </w:r>
      <w:r>
        <w:rPr>
          <w:rFonts w:hint="default" w:ascii="Arial" w:hAnsi="Arial" w:eastAsia="SimSun" w:cs="Arial"/>
          <w:color w:val="000000"/>
          <w:kern w:val="0"/>
          <w:sz w:val="22"/>
          <w:szCs w:val="22"/>
          <w:lang w:val="pt-BR" w:eastAsia="zh-CN" w:bidi="ar"/>
        </w:rPr>
        <w:t>item</w:t>
      </w:r>
      <w:r>
        <w:rPr>
          <w:rFonts w:hint="default" w:ascii="Arial" w:hAnsi="Arial" w:eastAsia="SimSun" w:cs="Arial"/>
          <w:color w:val="000000"/>
          <w:kern w:val="0"/>
          <w:sz w:val="22"/>
          <w:szCs w:val="22"/>
          <w:lang w:val="en-US" w:eastAsia="zh-CN" w:bidi="ar"/>
        </w:rPr>
        <w:t xml:space="preserve">, seja retirada ou reposição. </w:t>
      </w:r>
    </w:p>
    <w:p w14:paraId="706C8B70">
      <w:pPr>
        <w:keepNext w:val="0"/>
        <w:keepLines w:val="0"/>
        <w:widowControl/>
        <w:suppressLineNumbers w:val="0"/>
        <w:spacing w:line="360" w:lineRule="auto"/>
        <w:ind w:left="0" w:leftChars="0" w:firstLine="440" w:firstLineChars="200"/>
        <w:jc w:val="both"/>
        <w:rPr>
          <w:rFonts w:hint="default" w:ascii="Arial" w:hAnsi="Arial" w:eastAsia="SimSun" w:cs="Arial"/>
          <w:color w:val="000000"/>
          <w:kern w:val="0"/>
          <w:sz w:val="22"/>
          <w:szCs w:val="22"/>
          <w:lang w:val="en-US" w:eastAsia="zh-CN" w:bidi="ar"/>
        </w:rPr>
      </w:pPr>
    </w:p>
    <w:p w14:paraId="24D363E4">
      <w:pPr>
        <w:keepNext w:val="0"/>
        <w:keepLines w:val="0"/>
        <w:widowControl/>
        <w:suppressLineNumbers w:val="0"/>
        <w:spacing w:line="360" w:lineRule="auto"/>
        <w:ind w:left="0" w:leftChars="0" w:firstLine="440" w:firstLineChars="200"/>
        <w:jc w:val="both"/>
        <w:rPr>
          <w:rFonts w:hint="default" w:ascii="Arial" w:hAnsi="Arial" w:eastAsia="SimSun" w:cs="Arial"/>
          <w:color w:val="000000"/>
          <w:kern w:val="0"/>
          <w:sz w:val="22"/>
          <w:szCs w:val="22"/>
          <w:lang w:val="en-US" w:eastAsia="zh-CN" w:bidi="ar"/>
        </w:rPr>
      </w:pPr>
      <w:r>
        <w:rPr>
          <w:rFonts w:hint="default" w:ascii="Arial" w:hAnsi="Arial" w:eastAsia="SimSun" w:cs="Arial"/>
          <w:color w:val="000000"/>
          <w:kern w:val="0"/>
          <w:sz w:val="22"/>
          <w:szCs w:val="22"/>
          <w:lang w:val="en-US" w:eastAsia="zh-CN" w:bidi="ar"/>
        </w:rPr>
        <w:t xml:space="preserve">Todos os insumos utilizados na hemodiálise, hoje possuem a etiqueta para melhor controle da movimentação do </w:t>
      </w:r>
      <w:r>
        <w:rPr>
          <w:rFonts w:hint="default" w:ascii="Arial" w:hAnsi="Arial" w:eastAsia="SimSun" w:cs="Arial"/>
          <w:color w:val="000000"/>
          <w:kern w:val="0"/>
          <w:sz w:val="22"/>
          <w:szCs w:val="22"/>
          <w:lang w:val="pt-BR" w:eastAsia="zh-CN" w:bidi="ar"/>
        </w:rPr>
        <w:t>estoque, m</w:t>
      </w:r>
      <w:r>
        <w:rPr>
          <w:rFonts w:hint="default" w:ascii="Arial" w:hAnsi="Arial" w:eastAsia="SimSun" w:cs="Arial"/>
          <w:color w:val="000000"/>
          <w:kern w:val="0"/>
          <w:sz w:val="22"/>
          <w:szCs w:val="22"/>
          <w:lang w:val="en-US" w:eastAsia="zh-CN" w:bidi="ar"/>
        </w:rPr>
        <w:t xml:space="preserve">ensalmente são apresentados em reunião com demais setores, os dados indicadores de consumo por setores, perdas e entradas de notas fiscais no almoxarifado. </w:t>
      </w:r>
    </w:p>
    <w:p w14:paraId="52A64321">
      <w:pPr>
        <w:keepNext w:val="0"/>
        <w:keepLines w:val="0"/>
        <w:widowControl/>
        <w:suppressLineNumbers w:val="0"/>
        <w:spacing w:line="360" w:lineRule="auto"/>
        <w:ind w:left="0" w:leftChars="0" w:firstLine="440" w:firstLineChars="200"/>
        <w:jc w:val="both"/>
        <w:rPr>
          <w:rFonts w:hint="default" w:ascii="Arial" w:hAnsi="Arial" w:eastAsia="SimSun" w:cs="Arial"/>
          <w:color w:val="000000"/>
          <w:kern w:val="0"/>
          <w:sz w:val="22"/>
          <w:szCs w:val="22"/>
          <w:lang w:val="en-US" w:eastAsia="zh-CN" w:bidi="ar"/>
        </w:rPr>
      </w:pPr>
    </w:p>
    <w:p w14:paraId="27259936">
      <w:pPr>
        <w:keepNext w:val="0"/>
        <w:keepLines w:val="0"/>
        <w:widowControl/>
        <w:suppressLineNumbers w:val="0"/>
        <w:spacing w:line="360" w:lineRule="auto"/>
        <w:ind w:left="0" w:leftChars="0" w:firstLine="440" w:firstLineChars="200"/>
        <w:jc w:val="both"/>
        <w:rPr>
          <w:rFonts w:hint="default" w:ascii="Arial" w:hAnsi="Arial" w:cs="Arial"/>
          <w:sz w:val="22"/>
          <w:szCs w:val="22"/>
        </w:rPr>
      </w:pPr>
      <w:r>
        <w:rPr>
          <w:rFonts w:hint="default" w:ascii="Arial" w:hAnsi="Arial" w:eastAsia="SimSun" w:cs="Arial"/>
          <w:color w:val="000000"/>
          <w:kern w:val="0"/>
          <w:sz w:val="22"/>
          <w:szCs w:val="22"/>
          <w:lang w:val="en-US" w:eastAsia="zh-CN" w:bidi="ar"/>
        </w:rPr>
        <w:t xml:space="preserve">Deu-se início também na elaboração da taxa de acuracidade do almoxarifado, </w:t>
      </w:r>
      <w:r>
        <w:rPr>
          <w:rFonts w:hint="default" w:ascii="Arial" w:hAnsi="Arial" w:eastAsia="SimSun" w:cs="Arial"/>
          <w:color w:val="000000"/>
          <w:kern w:val="0"/>
          <w:sz w:val="22"/>
          <w:szCs w:val="22"/>
          <w:lang w:val="pt-BR" w:eastAsia="zh-CN" w:bidi="ar"/>
        </w:rPr>
        <w:t>c</w:t>
      </w:r>
      <w:r>
        <w:rPr>
          <w:rFonts w:hint="default" w:ascii="Arial" w:hAnsi="Arial" w:eastAsia="SimSun" w:cs="Arial"/>
          <w:color w:val="000000"/>
          <w:kern w:val="0"/>
          <w:sz w:val="22"/>
          <w:szCs w:val="22"/>
          <w:lang w:val="en-US" w:eastAsia="zh-CN" w:bidi="ar"/>
        </w:rPr>
        <w:t>omeçando</w:t>
      </w:r>
      <w:r>
        <w:rPr>
          <w:rFonts w:hint="default" w:ascii="Arial" w:hAnsi="Arial" w:eastAsia="SimSun" w:cs="Arial"/>
          <w:color w:val="000000"/>
          <w:kern w:val="0"/>
          <w:sz w:val="22"/>
          <w:szCs w:val="22"/>
          <w:lang w:val="pt-BR" w:eastAsia="zh-CN" w:bidi="ar"/>
        </w:rPr>
        <w:t xml:space="preserve"> </w:t>
      </w:r>
      <w:r>
        <w:rPr>
          <w:rFonts w:hint="default" w:ascii="Arial" w:hAnsi="Arial" w:eastAsia="SimSun" w:cs="Arial"/>
          <w:color w:val="000000"/>
          <w:kern w:val="0"/>
          <w:sz w:val="22"/>
          <w:szCs w:val="22"/>
          <w:lang w:val="en-US" w:eastAsia="zh-CN" w:bidi="ar"/>
        </w:rPr>
        <w:t xml:space="preserve">pelos </w:t>
      </w:r>
      <w:r>
        <w:rPr>
          <w:rFonts w:hint="default" w:ascii="Arial" w:hAnsi="Arial" w:eastAsia="SimSun" w:cs="Arial"/>
          <w:color w:val="000000"/>
          <w:kern w:val="0"/>
          <w:sz w:val="22"/>
          <w:szCs w:val="22"/>
          <w:lang w:val="pt-BR" w:eastAsia="zh-CN" w:bidi="ar"/>
        </w:rPr>
        <w:t xml:space="preserve">itens </w:t>
      </w:r>
      <w:r>
        <w:rPr>
          <w:rFonts w:hint="default" w:ascii="Arial" w:hAnsi="Arial" w:eastAsia="SimSun" w:cs="Arial"/>
          <w:color w:val="000000"/>
          <w:kern w:val="0"/>
          <w:sz w:val="22"/>
          <w:szCs w:val="22"/>
          <w:lang w:val="en-US" w:eastAsia="zh-CN" w:bidi="ar"/>
        </w:rPr>
        <w:t>de hemodiálise por terem maior rotatividade, são apresentados mensalmente na reunião da CFT (Comissão de Farmácia e Terapêutica) os dados de comparação dos materiais entre físico e sistema.</w:t>
      </w:r>
    </w:p>
    <w:p w14:paraId="47A74F03">
      <w:pPr>
        <w:keepNext w:val="0"/>
        <w:keepLines w:val="0"/>
        <w:widowControl/>
        <w:suppressLineNumbers w:val="0"/>
        <w:spacing w:line="360" w:lineRule="auto"/>
        <w:ind w:left="0" w:leftChars="0" w:firstLine="440" w:firstLineChars="200"/>
        <w:jc w:val="left"/>
        <w:rPr>
          <w:rFonts w:hint="default" w:ascii="Arial" w:hAnsi="Arial" w:eastAsia="SimSun" w:cs="Arial"/>
          <w:color w:val="000000"/>
          <w:kern w:val="0"/>
          <w:sz w:val="22"/>
          <w:szCs w:val="22"/>
          <w:lang w:val="en-US" w:eastAsia="zh-CN" w:bidi="ar"/>
        </w:rPr>
      </w:pPr>
    </w:p>
    <w:p w14:paraId="43555BDC">
      <w:pPr>
        <w:spacing w:line="360" w:lineRule="auto"/>
        <w:ind w:left="0" w:leftChars="0" w:firstLine="440" w:firstLineChars="200"/>
        <w:rPr>
          <w:rFonts w:hint="default" w:ascii="Arial" w:hAnsi="Arial" w:cs="Arial"/>
          <w:sz w:val="22"/>
          <w:szCs w:val="22"/>
        </w:rPr>
      </w:pPr>
    </w:p>
    <w:p w14:paraId="27A0D9B5">
      <w:pPr>
        <w:pStyle w:val="30"/>
        <w:numPr>
          <w:ilvl w:val="0"/>
          <w:numId w:val="3"/>
        </w:numPr>
        <w:spacing w:after="0" w:line="240" w:lineRule="auto"/>
        <w:ind w:left="0" w:leftChars="0" w:firstLine="400" w:firstLineChars="200"/>
        <w:rPr>
          <w:rFonts w:ascii="Times New Roman" w:hAnsi="Times New Roman" w:cs="Times New Roman" w:eastAsiaTheme="majorEastAsia"/>
          <w:b/>
          <w:bCs/>
          <w:vanish/>
          <w:spacing w:val="-10"/>
          <w:kern w:val="28"/>
        </w:rPr>
      </w:pPr>
    </w:p>
    <w:p w14:paraId="29894CA3">
      <w:pPr>
        <w:pStyle w:val="30"/>
        <w:numPr>
          <w:ilvl w:val="0"/>
          <w:numId w:val="3"/>
        </w:numPr>
        <w:spacing w:after="0" w:line="240" w:lineRule="auto"/>
        <w:ind w:left="0" w:leftChars="0" w:firstLine="400" w:firstLineChars="200"/>
        <w:rPr>
          <w:rFonts w:ascii="Times New Roman" w:hAnsi="Times New Roman" w:cs="Times New Roman" w:eastAsiaTheme="majorEastAsia"/>
          <w:b/>
          <w:bCs/>
          <w:vanish/>
          <w:spacing w:val="-10"/>
          <w:kern w:val="28"/>
        </w:rPr>
      </w:pPr>
    </w:p>
    <w:p w14:paraId="68077B8E">
      <w:pPr>
        <w:pStyle w:val="3"/>
        <w:numPr>
          <w:ilvl w:val="0"/>
          <w:numId w:val="0"/>
        </w:numPr>
        <w:ind w:firstLine="550" w:firstLineChars="250"/>
        <w:rPr>
          <w:rFonts w:ascii="Arial" w:hAnsi="Arial" w:cs="Arial"/>
          <w:b/>
          <w:bCs/>
          <w:color w:val="000000" w:themeColor="text1"/>
          <w:sz w:val="22"/>
          <w:szCs w:val="22"/>
          <w14:textFill>
            <w14:solidFill>
              <w14:schemeClr w14:val="tx1"/>
            </w14:solidFill>
          </w14:textFill>
        </w:rPr>
      </w:pPr>
      <w:bookmarkStart w:id="4" w:name="_Toc192161422"/>
      <w:r>
        <w:rPr>
          <w:rFonts w:ascii="Arial" w:hAnsi="Arial" w:cs="Arial"/>
          <w:b/>
          <w:bCs/>
          <w:color w:val="000000" w:themeColor="text1"/>
          <w:sz w:val="22"/>
          <w:szCs w:val="22"/>
          <w14:textFill>
            <w14:solidFill>
              <w14:schemeClr w14:val="tx1"/>
            </w14:solidFill>
          </w14:textFill>
        </w:rPr>
        <w:t>Núcleo De Segurança do Paciente - NSP</w:t>
      </w:r>
      <w:bookmarkEnd w:id="4"/>
    </w:p>
    <w:p w14:paraId="23D51566">
      <w:pPr>
        <w:spacing w:line="360" w:lineRule="auto"/>
        <w:ind w:left="0" w:leftChars="0" w:firstLine="440" w:firstLineChars="200"/>
        <w:jc w:val="both"/>
        <w:rPr>
          <w:rFonts w:ascii="Arial" w:hAnsi="Arial" w:cs="Arial"/>
        </w:rPr>
      </w:pPr>
      <w:r>
        <w:rPr>
          <w:rFonts w:ascii="Arial" w:hAnsi="Arial" w:cs="Arial"/>
        </w:rPr>
        <w:t xml:space="preserve"> </w:t>
      </w:r>
    </w:p>
    <w:p w14:paraId="551F55AC">
      <w:pPr>
        <w:spacing w:after="0" w:line="360" w:lineRule="auto"/>
        <w:ind w:left="0" w:leftChars="0" w:firstLine="440" w:firstLineChars="200"/>
        <w:jc w:val="both"/>
        <w:rPr>
          <w:rFonts w:ascii="Arial" w:hAnsi="Arial" w:cs="Arial"/>
        </w:rPr>
      </w:pPr>
      <w:r>
        <w:rPr>
          <w:rFonts w:ascii="Arial" w:hAnsi="Arial" w:cs="Arial"/>
        </w:rPr>
        <w:t xml:space="preserve">O núcleo da qualidade e segurança do paciente tem a finalidade de estabelecer a Gestão da Qualidade (GQ) como um instrumento permanente buscando elevar a qualidade do serviço prestado, reorganizar práticas, diminuir riscos ao paciente e profissionais. Monitorar periodicamente os indicadores, para contribuir nas tomadas de decisões. O Núcleo enquanto Segurança do Paciente tem como objetivo promover e apoiar a implantação de iniciativas voltadas à segurança do paciente. </w:t>
      </w:r>
    </w:p>
    <w:p w14:paraId="564189A8">
      <w:pPr>
        <w:spacing w:after="0" w:line="360" w:lineRule="auto"/>
        <w:ind w:left="0" w:leftChars="0" w:firstLine="440" w:firstLineChars="200"/>
        <w:jc w:val="both"/>
        <w:rPr>
          <w:rFonts w:ascii="Arial" w:hAnsi="Arial" w:cs="Arial"/>
        </w:rPr>
      </w:pPr>
    </w:p>
    <w:p w14:paraId="7F4BEF58">
      <w:pPr>
        <w:spacing w:after="0" w:line="360" w:lineRule="auto"/>
        <w:ind w:left="0" w:leftChars="0" w:firstLine="440" w:firstLineChars="200"/>
        <w:jc w:val="both"/>
        <w:rPr>
          <w:rFonts w:ascii="Arial" w:hAnsi="Arial" w:cs="Arial"/>
        </w:rPr>
      </w:pPr>
      <w:r>
        <w:rPr>
          <w:rFonts w:ascii="Arial" w:hAnsi="Arial" w:cs="Arial"/>
        </w:rPr>
        <w:t xml:space="preserve">   O NSP deve promover a prevenção, controle e mitigação de incidentes, além da integração dos setores, promover a articulação dos processos de trabalho e das informações que impactam nos riscos ao paciente. O NSP tem papel fundamental no incremento de qualidade e segurança nos serviços de saúde.</w:t>
      </w:r>
    </w:p>
    <w:p w14:paraId="03D81810">
      <w:pPr>
        <w:spacing w:after="0" w:line="360" w:lineRule="auto"/>
        <w:ind w:left="0" w:leftChars="0" w:firstLine="440" w:firstLineChars="200"/>
        <w:jc w:val="both"/>
        <w:rPr>
          <w:rFonts w:ascii="Arial" w:hAnsi="Arial" w:cs="Arial"/>
        </w:rPr>
      </w:pPr>
    </w:p>
    <w:p w14:paraId="1A773B28">
      <w:pPr>
        <w:spacing w:after="0" w:line="360" w:lineRule="auto"/>
        <w:ind w:left="0" w:leftChars="0" w:firstLine="440" w:firstLineChars="200"/>
        <w:jc w:val="both"/>
        <w:rPr>
          <w:rFonts w:ascii="Arial" w:hAnsi="Arial" w:cs="Arial"/>
        </w:rPr>
      </w:pPr>
      <w:r>
        <w:rPr>
          <w:rFonts w:ascii="Arial" w:hAnsi="Arial" w:cs="Arial"/>
        </w:rPr>
        <w:t>A segurança do paciente corresponde à redução ao mínimo aceitável do risco de dano desnecessário associado ao cuidado de saúde. Compreender os fatores associados à ocorrência dos incidentes orienta a elaboração de ações para redução do risco, aumentando a segurança do paciente.</w:t>
      </w:r>
    </w:p>
    <w:p w14:paraId="2FC6B645">
      <w:pPr>
        <w:spacing w:after="0" w:line="360" w:lineRule="auto"/>
        <w:ind w:left="0" w:leftChars="0" w:firstLine="440" w:firstLineChars="200"/>
        <w:jc w:val="both"/>
        <w:rPr>
          <w:rFonts w:ascii="Arial" w:hAnsi="Arial" w:cs="Arial"/>
        </w:rPr>
      </w:pPr>
    </w:p>
    <w:p w14:paraId="13260EBC">
      <w:pPr>
        <w:spacing w:after="0" w:line="360" w:lineRule="auto"/>
        <w:ind w:left="0" w:leftChars="0" w:firstLine="440" w:firstLineChars="200"/>
        <w:jc w:val="both"/>
        <w:rPr>
          <w:rFonts w:ascii="Arial" w:hAnsi="Arial" w:cs="Arial"/>
        </w:rPr>
      </w:pPr>
      <w:r>
        <w:rPr>
          <w:rFonts w:ascii="Arial" w:hAnsi="Arial" w:cs="Arial"/>
        </w:rPr>
        <w:t xml:space="preserv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w:t>
      </w:r>
    </w:p>
    <w:p w14:paraId="35470B0B">
      <w:pPr>
        <w:spacing w:after="0" w:line="360" w:lineRule="auto"/>
        <w:ind w:left="0" w:leftChars="0" w:firstLine="440" w:firstLineChars="200"/>
        <w:jc w:val="both"/>
        <w:rPr>
          <w:rFonts w:ascii="Arial" w:hAnsi="Arial" w:cs="Arial"/>
        </w:rPr>
      </w:pPr>
    </w:p>
    <w:p w14:paraId="519B8073">
      <w:pPr>
        <w:spacing w:after="0" w:line="360" w:lineRule="auto"/>
        <w:ind w:left="0" w:leftChars="0" w:firstLine="440" w:firstLineChars="200"/>
        <w:jc w:val="both"/>
        <w:rPr>
          <w:rFonts w:ascii="Arial" w:hAnsi="Arial" w:cs="Arial"/>
        </w:rPr>
      </w:pPr>
      <w:r>
        <w:rPr>
          <w:rFonts w:ascii="Arial" w:hAnsi="Arial" w:cs="Arial"/>
        </w:rPr>
        <w:t xml:space="preserve"> O Plano estabelece estratégias e ações de gestão de risco, conforme as atividades desenvolvidas pela instituição.  As notificações são encaminhadas para o gestor da área para análise crítica e providencias com plano de ação com proposta de ações corretivas e preventivas a fim de mitigar os problemas.</w:t>
      </w:r>
    </w:p>
    <w:p w14:paraId="0556CAEC">
      <w:pPr>
        <w:spacing w:after="0" w:line="360" w:lineRule="auto"/>
        <w:ind w:left="0" w:leftChars="0" w:firstLine="440" w:firstLineChars="200"/>
        <w:jc w:val="both"/>
        <w:rPr>
          <w:rFonts w:ascii="Arial" w:hAnsi="Arial" w:cs="Arial"/>
        </w:rPr>
      </w:pPr>
    </w:p>
    <w:p w14:paraId="4E7A4A5A">
      <w:pPr>
        <w:spacing w:after="0" w:line="360" w:lineRule="auto"/>
        <w:ind w:firstLine="851"/>
        <w:jc w:val="both"/>
        <w:rPr>
          <w:rFonts w:ascii="Arial" w:hAnsi="Arial" w:cs="Arial"/>
        </w:rPr>
      </w:pPr>
    </w:p>
    <w:p w14:paraId="45B2A581">
      <w:pPr>
        <w:pStyle w:val="30"/>
        <w:numPr>
          <w:ilvl w:val="0"/>
          <w:numId w:val="4"/>
        </w:numPr>
        <w:spacing w:after="0" w:line="360" w:lineRule="auto"/>
        <w:jc w:val="both"/>
        <w:rPr>
          <w:rFonts w:ascii="Arial" w:hAnsi="Arial" w:cs="Arial"/>
        </w:rPr>
      </w:pPr>
      <w:r>
        <w:rPr>
          <w:rFonts w:ascii="Arial" w:hAnsi="Arial" w:cs="Arial"/>
          <w:b/>
          <w:bCs/>
        </w:rPr>
        <w:t>Indicador de Notificações de Acidentes e/ou eventos adversos.</w:t>
      </w:r>
    </w:p>
    <w:p w14:paraId="75E96D90">
      <w:pPr>
        <w:spacing w:after="0" w:line="360" w:lineRule="auto"/>
        <w:jc w:val="both"/>
        <w:rPr>
          <w:rFonts w:ascii="Arial" w:hAnsi="Arial" w:cs="Arial"/>
        </w:rPr>
      </w:pPr>
      <w:r>
        <w:drawing>
          <wp:inline distT="0" distB="0" distL="114300" distR="114300">
            <wp:extent cx="6188075" cy="3620770"/>
            <wp:effectExtent l="4445" t="4445" r="17780" b="13335"/>
            <wp:docPr id="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25AA2A">
      <w:pPr>
        <w:pStyle w:val="30"/>
        <w:spacing w:after="0" w:line="360" w:lineRule="auto"/>
        <w:ind w:left="1211"/>
        <w:jc w:val="right"/>
        <w:rPr>
          <w:rFonts w:ascii="Arial" w:hAnsi="Arial" w:cs="Arial"/>
        </w:rPr>
      </w:pPr>
    </w:p>
    <w:p w14:paraId="0463028B">
      <w:pPr>
        <w:pStyle w:val="30"/>
        <w:spacing w:after="0" w:line="360" w:lineRule="auto"/>
        <w:ind w:left="-284"/>
        <w:jc w:val="center"/>
        <w:rPr>
          <w:rFonts w:ascii="Arial" w:hAnsi="Arial" w:cs="Arial"/>
        </w:rPr>
      </w:pPr>
      <w:r>
        <w:rPr>
          <w:rFonts w:ascii="Arial" w:hAnsi="Arial" w:cs="Arial"/>
        </w:rPr>
        <w:t>Indicador de notificações</w:t>
      </w:r>
    </w:p>
    <w:p w14:paraId="46BFEE53">
      <w:pPr>
        <w:pStyle w:val="30"/>
        <w:spacing w:after="0" w:line="360" w:lineRule="auto"/>
        <w:ind w:left="-284"/>
        <w:jc w:val="center"/>
        <w:rPr>
          <w:rFonts w:ascii="Arial" w:hAnsi="Arial" w:cs="Arial"/>
        </w:rPr>
      </w:pPr>
    </w:p>
    <w:p w14:paraId="6EF162FD">
      <w:pPr>
        <w:pStyle w:val="30"/>
        <w:spacing w:after="0" w:line="360" w:lineRule="auto"/>
        <w:ind w:left="-284"/>
        <w:jc w:val="center"/>
        <w:rPr>
          <w:rFonts w:ascii="Arial" w:hAnsi="Arial" w:cs="Arial"/>
        </w:rPr>
      </w:pPr>
    </w:p>
    <w:tbl>
      <w:tblPr>
        <w:tblStyle w:val="9"/>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6316"/>
        <w:gridCol w:w="6"/>
        <w:gridCol w:w="3509"/>
        <w:gridCol w:w="9"/>
      </w:tblGrid>
      <w:tr w14:paraId="75D4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09" w:hRule="atLeast"/>
          <w:jc w:val="center"/>
        </w:trPr>
        <w:tc>
          <w:tcPr>
            <w:tcW w:w="9840" w:type="dxa"/>
            <w:gridSpan w:val="4"/>
            <w:shd w:val="clear" w:color="auto" w:fill="00314C"/>
          </w:tcPr>
          <w:p w14:paraId="43CBA064">
            <w:pPr>
              <w:spacing w:after="0" w:line="240" w:lineRule="auto"/>
              <w:jc w:val="center"/>
              <w:rPr>
                <w:rFonts w:ascii="Arial" w:hAnsi="Arial" w:eastAsia="Times New Roman" w:cs="Arial"/>
                <w:color w:val="FFFFFF" w:themeColor="background1"/>
                <w:lang w:eastAsia="pt-BR"/>
                <w14:textFill>
                  <w14:solidFill>
                    <w14:schemeClr w14:val="bg1"/>
                  </w14:solidFill>
                </w14:textFill>
              </w:rPr>
            </w:pPr>
            <w:bookmarkStart w:id="5" w:name="_Toc192161423"/>
            <w:r>
              <w:rPr>
                <w:rFonts w:ascii="Arial" w:hAnsi="Arial" w:eastAsia="Times New Roman" w:cs="Arial"/>
                <w:color w:val="FFFFFF" w:themeColor="background1"/>
                <w:lang w:eastAsia="pt-BR"/>
                <w14:textFill>
                  <w14:solidFill>
                    <w14:schemeClr w14:val="bg1"/>
                  </w14:solidFill>
                </w14:textFill>
              </w:rPr>
              <w:t>QUANTITATIVO POR PERFIL DE NOTIFICAÇÃO</w:t>
            </w:r>
          </w:p>
        </w:tc>
      </w:tr>
      <w:tr w14:paraId="39C50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2" w:hRule="atLeast"/>
          <w:tblHeader/>
          <w:jc w:val="center"/>
        </w:trPr>
        <w:tc>
          <w:tcPr>
            <w:tcW w:w="6316" w:type="dxa"/>
            <w:tcBorders>
              <w:top w:val="single" w:color="auto" w:sz="4" w:space="0"/>
              <w:left w:val="single" w:color="auto" w:sz="4" w:space="0"/>
              <w:bottom w:val="single" w:color="auto" w:sz="4" w:space="0"/>
              <w:right w:val="single" w:color="auto" w:sz="4" w:space="0"/>
            </w:tcBorders>
            <w:shd w:val="clear" w:color="auto" w:fill="00314C"/>
            <w:vAlign w:val="center"/>
          </w:tcPr>
          <w:p w14:paraId="0479325E">
            <w:pPr>
              <w:spacing w:after="0" w:line="240" w:lineRule="auto"/>
              <w:rPr>
                <w:rFonts w:ascii="Arial" w:hAnsi="Arial" w:eastAsia="Times New Roman" w:cs="Arial"/>
                <w:color w:val="FFFFFF" w:themeColor="background1"/>
                <w:sz w:val="16"/>
                <w:szCs w:val="16"/>
                <w:lang w:eastAsia="pt-BR"/>
                <w14:textFill>
                  <w14:solidFill>
                    <w14:schemeClr w14:val="bg1"/>
                  </w14:solidFill>
                </w14:textFill>
              </w:rPr>
            </w:pPr>
            <w:r>
              <w:rPr>
                <w:rFonts w:ascii="Arial" w:hAnsi="Arial" w:eastAsia="Times New Roman" w:cs="Arial"/>
                <w:color w:val="FFFFFF" w:themeColor="background1"/>
                <w:sz w:val="16"/>
                <w:szCs w:val="16"/>
                <w:lang w:eastAsia="pt-BR"/>
                <w14:textFill>
                  <w14:solidFill>
                    <w14:schemeClr w14:val="bg1"/>
                  </w14:solidFill>
                </w14:textFill>
              </w:rPr>
              <w:t>PERFIL DA NOTIFICAÇÃO</w:t>
            </w:r>
          </w:p>
        </w:tc>
        <w:tc>
          <w:tcPr>
            <w:tcW w:w="3515" w:type="dxa"/>
            <w:gridSpan w:val="2"/>
            <w:tcBorders>
              <w:top w:val="single" w:color="auto" w:sz="4" w:space="0"/>
              <w:left w:val="single" w:color="auto" w:sz="4" w:space="0"/>
              <w:bottom w:val="single" w:color="000000" w:sz="8" w:space="0"/>
              <w:right w:val="single" w:color="000000" w:sz="8" w:space="0"/>
            </w:tcBorders>
            <w:shd w:val="clear" w:color="auto" w:fill="00314C"/>
            <w:vAlign w:val="center"/>
          </w:tcPr>
          <w:p w14:paraId="388DFA38">
            <w:pPr>
              <w:spacing w:after="0" w:line="240" w:lineRule="auto"/>
              <w:rPr>
                <w:rFonts w:ascii="Arial" w:hAnsi="Arial" w:eastAsia="Times New Roman" w:cs="Arial"/>
                <w:color w:val="FFFFFF" w:themeColor="background1"/>
                <w:sz w:val="16"/>
                <w:szCs w:val="16"/>
                <w:lang w:eastAsia="pt-BR"/>
                <w14:textFill>
                  <w14:solidFill>
                    <w14:schemeClr w14:val="bg1"/>
                  </w14:solidFill>
                </w14:textFill>
              </w:rPr>
            </w:pPr>
            <w:r>
              <w:rPr>
                <w:rFonts w:ascii="Arial" w:hAnsi="Arial" w:eastAsia="Times New Roman" w:cs="Arial"/>
                <w:color w:val="FFFFFF" w:themeColor="background1"/>
                <w:sz w:val="16"/>
                <w:szCs w:val="16"/>
                <w:lang w:eastAsia="pt-BR"/>
                <w14:textFill>
                  <w14:solidFill>
                    <w14:schemeClr w14:val="bg1"/>
                  </w14:solidFill>
                </w14:textFill>
              </w:rPr>
              <w:t>NUMERO (MÊS)</w:t>
            </w:r>
          </w:p>
        </w:tc>
      </w:tr>
      <w:tr w14:paraId="7487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15"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56BA5BE0">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EM HEMODIÁLISE</w:t>
            </w:r>
          </w:p>
        </w:tc>
        <w:tc>
          <w:tcPr>
            <w:tcW w:w="3515" w:type="dxa"/>
            <w:gridSpan w:val="2"/>
            <w:tcBorders>
              <w:top w:val="nil"/>
              <w:left w:val="nil"/>
              <w:bottom w:val="single" w:color="auto" w:sz="4" w:space="0"/>
              <w:right w:val="single" w:color="auto" w:sz="4" w:space="0"/>
            </w:tcBorders>
            <w:shd w:val="clear" w:color="000000" w:fill="FFFFFF"/>
            <w:vAlign w:val="center"/>
          </w:tcPr>
          <w:p w14:paraId="46638F92">
            <w:pPr>
              <w:spacing w:after="0" w:line="240" w:lineRule="auto"/>
              <w:jc w:val="center"/>
              <w:rPr>
                <w:rFonts w:hint="default" w:ascii="Arial" w:hAnsi="Arial" w:eastAsia="Times New Roman" w:cs="Arial"/>
                <w:color w:val="000000"/>
                <w:sz w:val="16"/>
                <w:szCs w:val="16"/>
                <w:lang w:val="en-US" w:eastAsia="pt-BR"/>
              </w:rPr>
            </w:pPr>
            <w:r>
              <w:rPr>
                <w:rFonts w:hint="default" w:ascii="Arial" w:hAnsi="Arial" w:eastAsia="Times New Roman" w:cs="Arial"/>
                <w:color w:val="000000"/>
                <w:sz w:val="16"/>
                <w:szCs w:val="16"/>
                <w:lang w:val="en-US" w:eastAsia="pt-BR"/>
              </w:rPr>
              <w:t>0</w:t>
            </w:r>
          </w:p>
        </w:tc>
      </w:tr>
      <w:tr w14:paraId="092CB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1196FFE6">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RISCO DE QUEDAS/QUEDAS</w:t>
            </w:r>
          </w:p>
        </w:tc>
        <w:tc>
          <w:tcPr>
            <w:tcW w:w="3515" w:type="dxa"/>
            <w:gridSpan w:val="2"/>
            <w:tcBorders>
              <w:top w:val="nil"/>
              <w:left w:val="nil"/>
              <w:bottom w:val="single" w:color="auto" w:sz="4" w:space="0"/>
              <w:right w:val="single" w:color="auto" w:sz="4" w:space="0"/>
            </w:tcBorders>
            <w:shd w:val="clear" w:color="000000" w:fill="FFFFFF"/>
            <w:vAlign w:val="center"/>
          </w:tcPr>
          <w:p w14:paraId="68E3E09C">
            <w:pPr>
              <w:spacing w:after="0" w:line="240" w:lineRule="auto"/>
              <w:jc w:val="center"/>
              <w:rPr>
                <w:rFonts w:hint="default" w:ascii="Arial" w:hAnsi="Arial" w:eastAsia="Times New Roman" w:cs="Arial"/>
                <w:color w:val="000000"/>
                <w:sz w:val="16"/>
                <w:szCs w:val="16"/>
                <w:lang w:val="en-US" w:eastAsia="pt-BR"/>
              </w:rPr>
            </w:pPr>
            <w:r>
              <w:rPr>
                <w:rFonts w:hint="default" w:ascii="Arial" w:hAnsi="Arial" w:eastAsia="Times New Roman" w:cs="Arial"/>
                <w:color w:val="000000"/>
                <w:sz w:val="16"/>
                <w:szCs w:val="16"/>
                <w:lang w:val="en-US" w:eastAsia="pt-BR"/>
              </w:rPr>
              <w:t>0</w:t>
            </w:r>
          </w:p>
        </w:tc>
      </w:tr>
      <w:tr w14:paraId="5B055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13FBCE0B">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COMUNICAÇÃO EFETIVA</w:t>
            </w:r>
          </w:p>
        </w:tc>
        <w:tc>
          <w:tcPr>
            <w:tcW w:w="3515" w:type="dxa"/>
            <w:gridSpan w:val="2"/>
            <w:tcBorders>
              <w:top w:val="nil"/>
              <w:left w:val="nil"/>
              <w:bottom w:val="single" w:color="auto" w:sz="4" w:space="0"/>
              <w:right w:val="single" w:color="auto" w:sz="4" w:space="0"/>
            </w:tcBorders>
            <w:shd w:val="clear" w:color="000000" w:fill="FFFFFF"/>
            <w:vAlign w:val="center"/>
          </w:tcPr>
          <w:p w14:paraId="3E1C340B">
            <w:pPr>
              <w:spacing w:after="0" w:line="240" w:lineRule="auto"/>
              <w:jc w:val="center"/>
              <w:rPr>
                <w:rFonts w:ascii="Arial" w:hAnsi="Arial" w:eastAsia="Times New Roman" w:cs="Arial"/>
                <w:color w:val="000000"/>
                <w:sz w:val="16"/>
                <w:szCs w:val="16"/>
                <w:lang w:val="en-US" w:eastAsia="pt-BR"/>
              </w:rPr>
            </w:pPr>
            <w:r>
              <w:rPr>
                <w:rFonts w:ascii="Arial" w:hAnsi="Arial" w:eastAsia="Times New Roman" w:cs="Arial"/>
                <w:color w:val="000000"/>
                <w:sz w:val="16"/>
                <w:szCs w:val="16"/>
                <w:lang w:val="en-US" w:eastAsia="pt-BR"/>
              </w:rPr>
              <w:t>0</w:t>
            </w:r>
          </w:p>
        </w:tc>
      </w:tr>
      <w:tr w14:paraId="4464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78106335">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IDENTIFICAÇÃO</w:t>
            </w:r>
          </w:p>
        </w:tc>
        <w:tc>
          <w:tcPr>
            <w:tcW w:w="3515" w:type="dxa"/>
            <w:gridSpan w:val="2"/>
            <w:tcBorders>
              <w:top w:val="nil"/>
              <w:left w:val="nil"/>
              <w:bottom w:val="single" w:color="auto" w:sz="4" w:space="0"/>
              <w:right w:val="single" w:color="auto" w:sz="4" w:space="0"/>
            </w:tcBorders>
            <w:shd w:val="clear" w:color="000000" w:fill="FFFFFF"/>
            <w:vAlign w:val="center"/>
          </w:tcPr>
          <w:p w14:paraId="27BACD56">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286EE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4DEF9530">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DE ADMINISTRAÇÃO DE MEDICAMENTOS</w:t>
            </w:r>
          </w:p>
        </w:tc>
        <w:tc>
          <w:tcPr>
            <w:tcW w:w="3515" w:type="dxa"/>
            <w:gridSpan w:val="2"/>
            <w:tcBorders>
              <w:top w:val="nil"/>
              <w:left w:val="nil"/>
              <w:bottom w:val="single" w:color="auto" w:sz="4" w:space="0"/>
              <w:right w:val="single" w:color="auto" w:sz="4" w:space="0"/>
            </w:tcBorders>
            <w:shd w:val="clear" w:color="000000" w:fill="FFFFFF"/>
            <w:vAlign w:val="center"/>
          </w:tcPr>
          <w:p w14:paraId="7B3B2E5F">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74F86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42A750B5">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PRESCRIÇÃO DE MEDICAMENTOS</w:t>
            </w:r>
          </w:p>
        </w:tc>
        <w:tc>
          <w:tcPr>
            <w:tcW w:w="3515" w:type="dxa"/>
            <w:gridSpan w:val="2"/>
            <w:tcBorders>
              <w:top w:val="nil"/>
              <w:left w:val="nil"/>
              <w:bottom w:val="single" w:color="auto" w:sz="4" w:space="0"/>
              <w:right w:val="single" w:color="auto" w:sz="4" w:space="0"/>
            </w:tcBorders>
            <w:shd w:val="clear" w:color="000000" w:fill="FFFFFF"/>
            <w:vAlign w:val="center"/>
          </w:tcPr>
          <w:p w14:paraId="27D01668">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01782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78B20885">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ADMINISTRATIVA</w:t>
            </w:r>
          </w:p>
        </w:tc>
        <w:tc>
          <w:tcPr>
            <w:tcW w:w="3515" w:type="dxa"/>
            <w:gridSpan w:val="2"/>
            <w:tcBorders>
              <w:top w:val="nil"/>
              <w:left w:val="nil"/>
              <w:bottom w:val="single" w:color="auto" w:sz="4" w:space="0"/>
              <w:right w:val="single" w:color="auto" w:sz="4" w:space="0"/>
            </w:tcBorders>
            <w:shd w:val="clear" w:color="000000" w:fill="FFFFFF"/>
            <w:vAlign w:val="center"/>
          </w:tcPr>
          <w:p w14:paraId="60FDBE3E">
            <w:pPr>
              <w:spacing w:after="0" w:line="240" w:lineRule="auto"/>
              <w:jc w:val="center"/>
              <w:rPr>
                <w:rFonts w:ascii="Arial" w:hAnsi="Arial" w:eastAsia="Times New Roman" w:cs="Arial"/>
                <w:color w:val="000000"/>
                <w:sz w:val="16"/>
                <w:szCs w:val="16"/>
                <w:lang w:val="en-US" w:eastAsia="pt-BR"/>
              </w:rPr>
            </w:pPr>
            <w:r>
              <w:rPr>
                <w:rFonts w:ascii="Arial" w:hAnsi="Arial" w:eastAsia="Times New Roman" w:cs="Arial"/>
                <w:color w:val="000000"/>
                <w:sz w:val="16"/>
                <w:szCs w:val="16"/>
                <w:lang w:val="en-US" w:eastAsia="pt-BR"/>
              </w:rPr>
              <w:t>0</w:t>
            </w:r>
          </w:p>
        </w:tc>
      </w:tr>
      <w:tr w14:paraId="1BBBB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79A20798">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ENTREGA DE RESULTADO DE EXAMES</w:t>
            </w:r>
          </w:p>
        </w:tc>
        <w:tc>
          <w:tcPr>
            <w:tcW w:w="3515" w:type="dxa"/>
            <w:gridSpan w:val="2"/>
            <w:tcBorders>
              <w:top w:val="nil"/>
              <w:left w:val="nil"/>
              <w:bottom w:val="single" w:color="auto" w:sz="4" w:space="0"/>
              <w:right w:val="single" w:color="auto" w:sz="4" w:space="0"/>
            </w:tcBorders>
            <w:shd w:val="clear" w:color="000000" w:fill="FFFFFF"/>
            <w:vAlign w:val="center"/>
          </w:tcPr>
          <w:p w14:paraId="580A3C64">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2DE84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0C3CEFC6">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INFECÇÃO RELACIONADA À ASSISTENCIA À SAÚDE</w:t>
            </w:r>
          </w:p>
        </w:tc>
        <w:tc>
          <w:tcPr>
            <w:tcW w:w="3515" w:type="dxa"/>
            <w:gridSpan w:val="2"/>
            <w:tcBorders>
              <w:top w:val="nil"/>
              <w:left w:val="nil"/>
              <w:bottom w:val="single" w:color="auto" w:sz="4" w:space="0"/>
              <w:right w:val="single" w:color="auto" w:sz="4" w:space="0"/>
            </w:tcBorders>
            <w:shd w:val="clear" w:color="000000" w:fill="FFFFFF"/>
            <w:vAlign w:val="center"/>
          </w:tcPr>
          <w:p w14:paraId="18C73927">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15C80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42CB22B1">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DISPENSAÇÃO DE MEDICAMENTOS</w:t>
            </w:r>
          </w:p>
        </w:tc>
        <w:tc>
          <w:tcPr>
            <w:tcW w:w="3515" w:type="dxa"/>
            <w:gridSpan w:val="2"/>
            <w:tcBorders>
              <w:top w:val="nil"/>
              <w:left w:val="nil"/>
              <w:bottom w:val="single" w:color="auto" w:sz="4" w:space="0"/>
              <w:right w:val="single" w:color="auto" w:sz="4" w:space="0"/>
            </w:tcBorders>
            <w:shd w:val="clear" w:color="000000" w:fill="FFFFFF"/>
            <w:vAlign w:val="center"/>
          </w:tcPr>
          <w:p w14:paraId="05FEA9E2">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1A583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356D84DE">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FALHAS EM PROCESSOS</w:t>
            </w:r>
          </w:p>
        </w:tc>
        <w:tc>
          <w:tcPr>
            <w:tcW w:w="3515" w:type="dxa"/>
            <w:gridSpan w:val="2"/>
            <w:tcBorders>
              <w:top w:val="nil"/>
              <w:left w:val="nil"/>
              <w:bottom w:val="single" w:color="auto" w:sz="4" w:space="0"/>
              <w:right w:val="single" w:color="auto" w:sz="4" w:space="0"/>
            </w:tcBorders>
            <w:shd w:val="clear" w:color="000000" w:fill="FFFFFF"/>
            <w:vAlign w:val="center"/>
          </w:tcPr>
          <w:p w14:paraId="458F024E">
            <w:pPr>
              <w:spacing w:after="0" w:line="240" w:lineRule="auto"/>
              <w:jc w:val="center"/>
              <w:rPr>
                <w:rFonts w:hint="default" w:ascii="Arial" w:hAnsi="Arial" w:eastAsia="Times New Roman" w:cs="Arial"/>
                <w:color w:val="000000"/>
                <w:sz w:val="16"/>
                <w:szCs w:val="16"/>
                <w:lang w:val="en-US" w:eastAsia="pt-BR"/>
              </w:rPr>
            </w:pPr>
            <w:r>
              <w:rPr>
                <w:rFonts w:hint="default" w:ascii="Arial" w:hAnsi="Arial" w:eastAsia="Times New Roman" w:cs="Arial"/>
                <w:color w:val="000000"/>
                <w:sz w:val="16"/>
                <w:szCs w:val="16"/>
                <w:lang w:val="en-US" w:eastAsia="pt-BR"/>
              </w:rPr>
              <w:t>10</w:t>
            </w:r>
          </w:p>
        </w:tc>
      </w:tr>
      <w:tr w14:paraId="28FCF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600"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44AA01A3">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REALIZAÇÃO DE PROCEDIMENTOS (PEQUENAS CIRURGIAS)</w:t>
            </w:r>
          </w:p>
        </w:tc>
        <w:tc>
          <w:tcPr>
            <w:tcW w:w="3515" w:type="dxa"/>
            <w:gridSpan w:val="2"/>
            <w:tcBorders>
              <w:top w:val="nil"/>
              <w:left w:val="nil"/>
              <w:bottom w:val="single" w:color="auto" w:sz="4" w:space="0"/>
              <w:right w:val="single" w:color="auto" w:sz="4" w:space="0"/>
            </w:tcBorders>
            <w:shd w:val="clear" w:color="000000" w:fill="FFFFFF"/>
            <w:vAlign w:val="center"/>
          </w:tcPr>
          <w:p w14:paraId="490D943E">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23A7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trHeight w:val="636" w:hRule="atLeast"/>
          <w:jc w:val="center"/>
        </w:trPr>
        <w:tc>
          <w:tcPr>
            <w:tcW w:w="6322"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0C116AF1">
            <w:pPr>
              <w:spacing w:after="0" w:line="240" w:lineRule="auto"/>
              <w:jc w:val="right"/>
              <w:rPr>
                <w:rFonts w:ascii="Arial" w:hAnsi="Arial" w:eastAsia="Times New Roman" w:cs="Arial"/>
                <w:color w:val="000000"/>
                <w:sz w:val="16"/>
                <w:szCs w:val="16"/>
                <w:lang w:eastAsia="pt-BR"/>
              </w:rPr>
            </w:pPr>
            <w:r>
              <w:rPr>
                <w:rFonts w:ascii="Arial" w:hAnsi="Arial" w:eastAsia="Times New Roman" w:cs="Arial"/>
                <w:color w:val="FFFFFF" w:themeColor="background1"/>
                <w:sz w:val="16"/>
                <w:szCs w:val="16"/>
                <w:lang w:eastAsia="pt-BR"/>
                <w14:textFill>
                  <w14:solidFill>
                    <w14:schemeClr w14:val="bg1"/>
                  </w14:solidFill>
                </w14:textFill>
              </w:rPr>
              <w:t>TOTAL DE NOTIFICAÇÕES MÊS:</w:t>
            </w:r>
          </w:p>
        </w:tc>
        <w:tc>
          <w:tcPr>
            <w:tcW w:w="3518" w:type="dxa"/>
            <w:gridSpan w:val="2"/>
            <w:tcBorders>
              <w:top w:val="single" w:color="auto" w:sz="4" w:space="0"/>
              <w:left w:val="nil"/>
              <w:bottom w:val="single" w:color="auto" w:sz="4" w:space="0"/>
              <w:right w:val="single" w:color="auto" w:sz="4" w:space="0"/>
            </w:tcBorders>
            <w:shd w:val="clear" w:color="000000" w:fill="FFFFFF"/>
            <w:vAlign w:val="center"/>
          </w:tcPr>
          <w:p w14:paraId="13404518">
            <w:pPr>
              <w:spacing w:after="0" w:line="240" w:lineRule="auto"/>
              <w:jc w:val="center"/>
              <w:rPr>
                <w:rFonts w:hint="default" w:ascii="Arial" w:hAnsi="Arial" w:eastAsia="Times New Roman" w:cs="Arial"/>
                <w:b/>
                <w:bCs/>
                <w:color w:val="000000"/>
                <w:sz w:val="16"/>
                <w:szCs w:val="16"/>
                <w:lang w:val="en-US" w:eastAsia="pt-BR"/>
              </w:rPr>
            </w:pPr>
            <w:r>
              <w:rPr>
                <w:rFonts w:hint="default" w:ascii="Arial" w:hAnsi="Arial" w:eastAsia="Times New Roman" w:cs="Arial"/>
                <w:b/>
                <w:bCs/>
                <w:color w:val="000000"/>
                <w:sz w:val="16"/>
                <w:szCs w:val="16"/>
                <w:lang w:val="en-US" w:eastAsia="pt-BR"/>
              </w:rPr>
              <w:t>10</w:t>
            </w:r>
          </w:p>
        </w:tc>
      </w:tr>
    </w:tbl>
    <w:p w14:paraId="0552E3C3">
      <w:pPr>
        <w:pStyle w:val="3"/>
        <w:numPr>
          <w:ilvl w:val="0"/>
          <w:numId w:val="0"/>
        </w:numPr>
        <w:spacing w:before="240" w:after="240" w:line="360" w:lineRule="auto"/>
        <w:ind w:left="-271"/>
        <w:jc w:val="both"/>
        <w:rPr>
          <w:rFonts w:ascii="Arial" w:hAnsi="Arial" w:cs="Arial"/>
          <w:b/>
          <w:bCs/>
          <w:color w:val="000000" w:themeColor="text1"/>
          <w:sz w:val="22"/>
          <w:szCs w:val="22"/>
          <w14:textFill>
            <w14:solidFill>
              <w14:schemeClr w14:val="tx1"/>
            </w14:solidFill>
          </w14:textFill>
        </w:rPr>
      </w:pPr>
    </w:p>
    <w:p w14:paraId="63379E67">
      <w:pPr>
        <w:pStyle w:val="3"/>
        <w:numPr>
          <w:ilvl w:val="0"/>
          <w:numId w:val="0"/>
        </w:numPr>
        <w:spacing w:before="240" w:after="240" w:line="360" w:lineRule="auto"/>
        <w:ind w:left="-271" w:firstLine="220" w:firstLineChars="100"/>
        <w:jc w:val="both"/>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Comissões</w:t>
      </w:r>
      <w:bookmarkEnd w:id="5"/>
    </w:p>
    <w:p w14:paraId="67C4C9EE">
      <w:pPr>
        <w:spacing w:before="240" w:line="360" w:lineRule="auto"/>
        <w:ind w:left="0" w:leftChars="0" w:firstLine="440" w:firstLineChars="200"/>
        <w:jc w:val="both"/>
        <w:rPr>
          <w:rFonts w:ascii="Arial" w:hAnsi="Arial" w:cs="Arial"/>
          <w:shd w:val="clear" w:color="auto" w:fill="FFFFFF"/>
        </w:rPr>
      </w:pPr>
      <w:r>
        <w:rPr>
          <w:rFonts w:ascii="Arial" w:hAnsi="Arial" w:cs="Arial"/>
          <w:color w:val="212529"/>
          <w:shd w:val="clear" w:color="auto" w:fill="FFFFFF"/>
        </w:rPr>
        <w:t> </w:t>
      </w:r>
      <w:r>
        <w:rPr>
          <w:rFonts w:ascii="Arial" w:hAnsi="Arial" w:cs="Arial"/>
          <w:shd w:val="clear" w:color="auto" w:fill="FFFFFF"/>
        </w:rPr>
        <w:t>As comissões são formadas por profissionais técnicos, como médicos e enfermeiros, coordenadores, supervisores e diretoria, mensalmente até o dia 20 de todos os meses são realizadas reuniões para tratar dos assuntos pertinentes a cada área, têm como principal função servir de instrumento de gestão para garantir maior segurança ao paciente.</w:t>
      </w:r>
    </w:p>
    <w:p w14:paraId="03839A9D">
      <w:pPr>
        <w:spacing w:before="240" w:line="360" w:lineRule="auto"/>
        <w:ind w:left="0" w:leftChars="0" w:firstLine="440" w:firstLineChars="200"/>
        <w:jc w:val="both"/>
        <w:rPr>
          <w:rFonts w:ascii="Arial" w:hAnsi="Arial" w:cs="Arial"/>
        </w:rPr>
      </w:pPr>
      <w:r>
        <w:rPr>
          <w:rFonts w:ascii="Arial" w:hAnsi="Arial" w:cs="Arial"/>
          <w:shd w:val="clear" w:color="auto" w:fill="FFFFFF"/>
        </w:rPr>
        <w:t xml:space="preserve"> O principal papel das comissões é a melhoria contínua dos processos internos, desenvolver e apresentar propostas de modernização dos atendimentos e aperfeiçoamento da rotina, tendo como foco central sempre a melhor qualidade no atendimento prestado ao paciente. </w:t>
      </w:r>
      <w:r>
        <w:rPr>
          <w:rFonts w:ascii="Arial" w:hAnsi="Arial" w:cs="Arial"/>
        </w:rPr>
        <w:t>Comissões atuantes dentro da Policlínica Estadual da Região Sudoeste – Quirinópolis:</w:t>
      </w:r>
    </w:p>
    <w:p w14:paraId="2775C013">
      <w:pPr>
        <w:spacing w:before="240" w:line="360" w:lineRule="auto"/>
        <w:ind w:left="-993" w:right="-568" w:firstLine="851"/>
        <w:jc w:val="center"/>
        <w:rPr>
          <w:rFonts w:ascii="Arial" w:hAnsi="Arial" w:cs="Arial"/>
        </w:rPr>
      </w:pPr>
      <w:r>
        <w:rPr>
          <w:rFonts w:hint="default"/>
          <w:lang w:val="pt-BR"/>
        </w:rPr>
        <w:drawing>
          <wp:inline distT="0" distB="0" distL="114300" distR="114300">
            <wp:extent cx="3877310" cy="4229735"/>
            <wp:effectExtent l="0" t="0" r="8890" b="18415"/>
            <wp:docPr id="2" name="Imagem 2" descr="CRONOGRAMA DE M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RONOGRAMA DE MAIO"/>
                    <pic:cNvPicPr>
                      <a:picLocks noChangeAspect="1"/>
                    </pic:cNvPicPr>
                  </pic:nvPicPr>
                  <pic:blipFill>
                    <a:blip r:embed="rId14"/>
                    <a:stretch>
                      <a:fillRect/>
                    </a:stretch>
                  </pic:blipFill>
                  <pic:spPr>
                    <a:xfrm>
                      <a:off x="0" y="0"/>
                      <a:ext cx="3877310" cy="4229735"/>
                    </a:xfrm>
                    <a:prstGeom prst="rect">
                      <a:avLst/>
                    </a:prstGeom>
                  </pic:spPr>
                </pic:pic>
              </a:graphicData>
            </a:graphic>
          </wp:inline>
        </w:drawing>
      </w:r>
    </w:p>
    <w:p w14:paraId="2E54DDD6">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6" w:name="_Toc192161424"/>
      <w:r>
        <w:rPr>
          <w:rFonts w:ascii="Arial" w:hAnsi="Arial" w:cs="Arial"/>
          <w:b/>
          <w:bCs/>
          <w:color w:val="000000" w:themeColor="text1"/>
          <w:sz w:val="22"/>
          <w:szCs w:val="22"/>
          <w14:textFill>
            <w14:solidFill>
              <w14:schemeClr w14:val="tx1"/>
            </w14:solidFill>
          </w14:textFill>
        </w:rPr>
        <w:t>Recepção</w:t>
      </w:r>
      <w:bookmarkEnd w:id="6"/>
      <w:r>
        <w:rPr>
          <w:rFonts w:ascii="Arial" w:hAnsi="Arial" w:cs="Arial"/>
          <w:b/>
          <w:bCs/>
          <w:color w:val="000000" w:themeColor="text1"/>
          <w:sz w:val="22"/>
          <w:szCs w:val="22"/>
          <w14:textFill>
            <w14:solidFill>
              <w14:schemeClr w14:val="tx1"/>
            </w14:solidFill>
          </w14:textFill>
        </w:rPr>
        <w:t xml:space="preserve"> </w:t>
      </w:r>
    </w:p>
    <w:p w14:paraId="1AD024E1">
      <w:pPr>
        <w:spacing w:before="240" w:line="360" w:lineRule="auto"/>
        <w:ind w:left="0" w:leftChars="0" w:right="0" w:rightChars="0" w:firstLine="440" w:firstLineChars="200"/>
        <w:jc w:val="both"/>
        <w:rPr>
          <w:rFonts w:ascii="Arial" w:hAnsi="Arial" w:cs="Arial"/>
        </w:rPr>
      </w:pPr>
      <w:r>
        <w:rPr>
          <w:rFonts w:ascii="Arial" w:hAnsi="Arial" w:cs="Arial"/>
        </w:rPr>
        <w:t>O setor de Recepção é o primeiro ponto de contato para pacientes e visitantes. A missão do setor é garantir que todos recebam um atendimento acolhedor e eficiente desde o momento em que entram nas instalações até a sua saída. A equipe de recepção é essencial para a gestão do fluxo de pacientes e para assegurar que todos os procedimentos sejam realizados com precisão e profissionalismo.</w:t>
      </w:r>
    </w:p>
    <w:p w14:paraId="774F360D">
      <w:pPr>
        <w:spacing w:before="240" w:line="360" w:lineRule="auto"/>
        <w:ind w:left="0" w:leftChars="0" w:right="0" w:rightChars="0" w:firstLine="440" w:firstLineChars="200"/>
        <w:jc w:val="both"/>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18F8AD17">
      <w:pPr>
        <w:spacing w:before="240" w:line="360" w:lineRule="auto"/>
        <w:ind w:left="0" w:leftChars="0" w:right="0" w:rightChars="0" w:firstLine="440" w:firstLineChars="200"/>
        <w:jc w:val="both"/>
        <w:rPr>
          <w:rFonts w:ascii="Arial" w:hAnsi="Arial" w:cs="Arial"/>
        </w:rPr>
      </w:pPr>
      <w:r>
        <w:rPr>
          <w:rFonts w:ascii="Arial" w:hAnsi="Arial" w:cs="Arial"/>
        </w:rPr>
        <w:t>E com isso a função do encarregado de recepcionistas e,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3B27FFC4">
      <w:pPr>
        <w:spacing w:before="240" w:line="360" w:lineRule="auto"/>
        <w:ind w:left="0" w:leftChars="0" w:right="0" w:rightChars="0" w:firstLine="440" w:firstLineChars="200"/>
        <w:jc w:val="both"/>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5B57BC46">
      <w:pPr>
        <w:spacing w:before="240" w:line="360" w:lineRule="auto"/>
        <w:ind w:left="0" w:leftChars="0" w:right="0" w:rightChars="0" w:firstLine="440" w:firstLineChars="200"/>
        <w:jc w:val="both"/>
        <w:rPr>
          <w:rFonts w:ascii="Arial" w:hAnsi="Arial" w:cs="Arial"/>
        </w:rPr>
      </w:pPr>
    </w:p>
    <w:p w14:paraId="27F8F0AE">
      <w:pPr>
        <w:spacing w:line="360" w:lineRule="auto"/>
        <w:ind w:left="0" w:leftChars="0" w:right="0" w:rightChars="0" w:firstLine="440" w:firstLineChars="200"/>
        <w:jc w:val="both"/>
        <w:rPr>
          <w:rFonts w:ascii="Arial" w:hAnsi="Arial" w:cs="Arial"/>
          <w:sz w:val="22"/>
          <w:szCs w:val="22"/>
        </w:rPr>
      </w:pPr>
      <w:r>
        <w:rPr>
          <w:rFonts w:ascii="Arial" w:hAnsi="Arial" w:cs="Arial"/>
          <w:sz w:val="22"/>
          <w:szCs w:val="22"/>
        </w:rPr>
        <w:t xml:space="preserve">Durante o mês de </w:t>
      </w:r>
      <w:r>
        <w:rPr>
          <w:rFonts w:hint="default" w:ascii="Arial" w:hAnsi="Arial" w:cs="Arial"/>
          <w:sz w:val="22"/>
          <w:szCs w:val="22"/>
          <w:lang w:val="pt-BR"/>
        </w:rPr>
        <w:t>maio</w:t>
      </w:r>
      <w:r>
        <w:rPr>
          <w:rFonts w:ascii="Arial" w:hAnsi="Arial" w:cs="Arial"/>
          <w:sz w:val="22"/>
          <w:szCs w:val="22"/>
        </w:rPr>
        <w:t xml:space="preserve">, foram mantidas e intensificadas ações estratégicas voltadas à redução da fila de espera para consultas ambulatoriais, com o objetivo de proporcionar aos pacientes um atendimento mais ágil, eficiente e humanizado. </w:t>
      </w:r>
    </w:p>
    <w:p w14:paraId="02FF60E7">
      <w:pPr>
        <w:spacing w:line="360" w:lineRule="auto"/>
        <w:ind w:left="0" w:leftChars="0" w:right="0" w:rightChars="0" w:firstLine="440" w:firstLineChars="200"/>
        <w:jc w:val="both"/>
        <w:rPr>
          <w:rFonts w:ascii="Arial" w:hAnsi="Arial" w:cs="Arial"/>
          <w:sz w:val="22"/>
          <w:szCs w:val="22"/>
        </w:rPr>
      </w:pPr>
    </w:p>
    <w:p w14:paraId="06B1DA48">
      <w:pPr>
        <w:spacing w:line="360" w:lineRule="auto"/>
        <w:ind w:left="0" w:leftChars="0" w:right="0" w:rightChars="0" w:firstLine="440" w:firstLineChars="200"/>
        <w:jc w:val="both"/>
        <w:rPr>
          <w:rFonts w:ascii="Arial" w:hAnsi="Arial" w:cs="Arial"/>
          <w:sz w:val="22"/>
          <w:szCs w:val="22"/>
        </w:rPr>
      </w:pPr>
      <w:r>
        <w:rPr>
          <w:rFonts w:ascii="Arial" w:hAnsi="Arial" w:cs="Arial"/>
          <w:sz w:val="22"/>
          <w:szCs w:val="22"/>
        </w:rPr>
        <w:t xml:space="preserve">Dentre as principais medidas adotadas, destacam-se as </w:t>
      </w:r>
      <w:r>
        <w:rPr>
          <w:rFonts w:ascii="Arial" w:hAnsi="Arial" w:cs="Arial"/>
          <w:i/>
          <w:iCs/>
          <w:sz w:val="22"/>
          <w:szCs w:val="22"/>
        </w:rPr>
        <w:t>buscas ativas de pacientes</w:t>
      </w:r>
      <w:r>
        <w:rPr>
          <w:rFonts w:ascii="Arial" w:hAnsi="Arial" w:cs="Arial"/>
          <w:sz w:val="22"/>
          <w:szCs w:val="22"/>
        </w:rPr>
        <w:t xml:space="preserve">, a abertura </w:t>
      </w:r>
      <w:r>
        <w:rPr>
          <w:rFonts w:ascii="Arial" w:hAnsi="Arial" w:cs="Arial"/>
          <w:i w:val="0"/>
          <w:iCs w:val="0"/>
          <w:sz w:val="22"/>
          <w:szCs w:val="22"/>
        </w:rPr>
        <w:t>de agendas extras e a reorganização da agenda de consultas</w:t>
      </w:r>
      <w:r>
        <w:rPr>
          <w:rFonts w:ascii="Arial" w:hAnsi="Arial" w:cs="Arial"/>
          <w:sz w:val="22"/>
          <w:szCs w:val="22"/>
        </w:rPr>
        <w:t>, o que possibilitou um melhor aproveitamento dos horários disponíveis.</w:t>
      </w:r>
    </w:p>
    <w:p w14:paraId="792AA6EF">
      <w:pPr>
        <w:spacing w:line="360" w:lineRule="auto"/>
        <w:ind w:left="0" w:leftChars="0" w:right="0" w:rightChars="0" w:firstLine="440" w:firstLineChars="200"/>
        <w:jc w:val="both"/>
        <w:rPr>
          <w:rFonts w:ascii="Arial" w:hAnsi="Arial" w:cs="Arial"/>
          <w:sz w:val="22"/>
          <w:szCs w:val="22"/>
        </w:rPr>
      </w:pPr>
    </w:p>
    <w:p w14:paraId="700FB1F4">
      <w:pPr>
        <w:spacing w:line="360" w:lineRule="auto"/>
        <w:ind w:left="0" w:leftChars="0" w:right="0" w:rightChars="0" w:firstLine="440" w:firstLineChars="200"/>
        <w:jc w:val="both"/>
        <w:rPr>
          <w:rFonts w:ascii="Arial" w:hAnsi="Arial" w:cs="Arial"/>
          <w:sz w:val="22"/>
          <w:szCs w:val="22"/>
        </w:rPr>
      </w:pPr>
      <w:r>
        <w:rPr>
          <w:rFonts w:ascii="Arial" w:hAnsi="Arial" w:cs="Arial"/>
          <w:sz w:val="22"/>
          <w:szCs w:val="22"/>
        </w:rPr>
        <w:t>A ampliação da equipe de recepção e a implementação de sistemas de gestão mais eficazes também foram fundamentais para a otimização do fluxo de pacientes e a redução significativa do tempo de espera. Como resultado, observou-se uma melhora expressiva na percepção dos usuários sobre a qualidade do atendimento, acompanhada de uma diminuição nas reclamações relacionadas à demora nos serviços prestados.</w:t>
      </w:r>
    </w:p>
    <w:p w14:paraId="63CA628B">
      <w:pPr>
        <w:spacing w:before="240" w:line="360" w:lineRule="auto"/>
        <w:ind w:left="0" w:leftChars="0" w:right="0" w:rightChars="0" w:firstLine="440" w:firstLineChars="200"/>
        <w:jc w:val="both"/>
        <w:rPr>
          <w:rFonts w:ascii="Arial" w:hAnsi="Arial" w:cs="Arial"/>
        </w:rPr>
      </w:pPr>
      <w:r>
        <w:rPr>
          <w:rFonts w:ascii="Arial" w:hAnsi="Arial" w:cs="Arial"/>
        </w:rPr>
        <w:t xml:space="preserve">ATIVIDADES REALIZADAS </w:t>
      </w:r>
    </w:p>
    <w:p w14:paraId="2E49FDBB">
      <w:pPr>
        <w:pStyle w:val="30"/>
        <w:numPr>
          <w:ilvl w:val="0"/>
          <w:numId w:val="6"/>
        </w:numPr>
        <w:spacing w:before="240" w:line="360" w:lineRule="auto"/>
        <w:ind w:left="0" w:leftChars="0" w:right="0" w:rightChars="0" w:firstLine="440" w:firstLineChars="200"/>
        <w:jc w:val="both"/>
        <w:rPr>
          <w:rFonts w:ascii="Arial" w:hAnsi="Arial" w:cs="Arial"/>
        </w:rPr>
      </w:pPr>
      <w:r>
        <w:rPr>
          <w:rFonts w:ascii="Arial" w:hAnsi="Arial" w:cs="Arial"/>
        </w:rPr>
        <w:t xml:space="preserve">Organizar as escalas de trabalho e definir a distribuição das tarefas entre os recepcionistas. </w:t>
      </w:r>
    </w:p>
    <w:p w14:paraId="1A413DC6">
      <w:pPr>
        <w:pStyle w:val="30"/>
        <w:numPr>
          <w:ilvl w:val="0"/>
          <w:numId w:val="6"/>
        </w:numPr>
        <w:spacing w:before="240" w:line="360" w:lineRule="auto"/>
        <w:ind w:left="0" w:leftChars="0" w:right="0" w:rightChars="0" w:firstLine="440" w:firstLineChars="200"/>
        <w:jc w:val="both"/>
        <w:rPr>
          <w:rFonts w:ascii="Arial" w:hAnsi="Arial" w:cs="Arial"/>
        </w:rPr>
      </w:pPr>
      <w:r>
        <w:rPr>
          <w:rFonts w:ascii="Arial" w:hAnsi="Arial" w:cs="Arial"/>
        </w:rPr>
        <w:t>Garantir que os processos administrativos e operacionais ocorram sem problemas</w:t>
      </w:r>
    </w:p>
    <w:p w14:paraId="299226FB">
      <w:pPr>
        <w:pStyle w:val="30"/>
        <w:numPr>
          <w:ilvl w:val="0"/>
          <w:numId w:val="6"/>
        </w:numPr>
        <w:spacing w:before="240" w:line="360" w:lineRule="auto"/>
        <w:ind w:left="0" w:leftChars="0" w:right="0" w:rightChars="0" w:firstLine="440" w:firstLineChars="200"/>
        <w:jc w:val="both"/>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59EDCF7">
      <w:pPr>
        <w:pStyle w:val="30"/>
        <w:numPr>
          <w:ilvl w:val="0"/>
          <w:numId w:val="6"/>
        </w:numPr>
        <w:spacing w:before="240" w:line="360" w:lineRule="auto"/>
        <w:ind w:right="0" w:rightChars="0"/>
        <w:jc w:val="both"/>
        <w:rPr>
          <w:rFonts w:ascii="Arial" w:hAnsi="Arial" w:cs="Arial"/>
        </w:rPr>
      </w:pPr>
      <w:r>
        <w:rPr>
          <w:rFonts w:ascii="Arial" w:hAnsi="Arial" w:cs="Arial"/>
        </w:rPr>
        <w:t xml:space="preserve"> Avaliar o desempenho da equipe e fornecer feedback contínuo para a melhoria do serviço.</w:t>
      </w:r>
    </w:p>
    <w:p w14:paraId="52CCD08A">
      <w:pPr>
        <w:pStyle w:val="30"/>
        <w:numPr>
          <w:ilvl w:val="0"/>
          <w:numId w:val="6"/>
        </w:numPr>
        <w:spacing w:before="240" w:line="360" w:lineRule="auto"/>
        <w:ind w:right="0" w:rightChars="0"/>
        <w:jc w:val="both"/>
        <w:rPr>
          <w:rFonts w:ascii="Arial" w:hAnsi="Arial" w:cs="Arial"/>
        </w:rPr>
      </w:pPr>
      <w:r>
        <w:rPr>
          <w:rFonts w:ascii="Arial" w:hAnsi="Arial" w:cs="Arial"/>
        </w:rPr>
        <w:t xml:space="preserve"> Garantir que os pacientes sejam bem recebidos e encaminhados adequadamente para os profissionais de saúde. </w:t>
      </w:r>
    </w:p>
    <w:p w14:paraId="137F4B85">
      <w:pPr>
        <w:pStyle w:val="30"/>
        <w:numPr>
          <w:ilvl w:val="0"/>
          <w:numId w:val="6"/>
        </w:numPr>
        <w:spacing w:before="240" w:line="360" w:lineRule="auto"/>
        <w:ind w:right="-568"/>
        <w:jc w:val="both"/>
        <w:rPr>
          <w:rFonts w:ascii="Arial" w:hAnsi="Arial" w:cs="Arial"/>
        </w:rPr>
      </w:pPr>
      <w:r>
        <w:rPr>
          <w:rFonts w:ascii="Arial" w:hAnsi="Arial" w:cs="Arial"/>
        </w:rPr>
        <w:t>Prestar informações sobre os serviços oferecidos pela clínica e esclarecer dúvidas</w:t>
      </w:r>
    </w:p>
    <w:p w14:paraId="604E0462">
      <w:pPr>
        <w:pStyle w:val="30"/>
        <w:numPr>
          <w:ilvl w:val="0"/>
          <w:numId w:val="6"/>
        </w:numPr>
        <w:spacing w:before="240" w:line="360" w:lineRule="auto"/>
        <w:ind w:right="0" w:rightChars="0"/>
        <w:jc w:val="both"/>
        <w:rPr>
          <w:rFonts w:ascii="Arial" w:hAnsi="Arial" w:cs="Arial"/>
        </w:rPr>
      </w:pPr>
      <w:r>
        <w:rPr>
          <w:rFonts w:ascii="Arial" w:hAnsi="Arial" w:cs="Arial"/>
        </w:rPr>
        <w:t>Gerenciar o calendário de consultas, assegurando que as marcações sejam feitas corretamente e sem sobreposição.</w:t>
      </w:r>
    </w:p>
    <w:p w14:paraId="456666F6">
      <w:pPr>
        <w:pStyle w:val="30"/>
        <w:numPr>
          <w:ilvl w:val="0"/>
          <w:numId w:val="6"/>
        </w:numPr>
        <w:spacing w:before="240" w:line="360" w:lineRule="auto"/>
        <w:ind w:right="-568"/>
        <w:jc w:val="both"/>
        <w:rPr>
          <w:rFonts w:ascii="Arial" w:hAnsi="Arial" w:cs="Arial"/>
        </w:rPr>
      </w:pPr>
      <w:r>
        <w:rPr>
          <w:rFonts w:ascii="Arial" w:hAnsi="Arial" w:cs="Arial"/>
        </w:rPr>
        <w:t>Atualizar e ajustar os agendamentos em caso de mudanças ou cancelamentos</w:t>
      </w:r>
    </w:p>
    <w:p w14:paraId="4D4909AD">
      <w:pPr>
        <w:pStyle w:val="30"/>
        <w:numPr>
          <w:ilvl w:val="0"/>
          <w:numId w:val="6"/>
        </w:numPr>
        <w:spacing w:before="240" w:line="360" w:lineRule="auto"/>
        <w:ind w:right="0" w:rightChars="0"/>
        <w:jc w:val="both"/>
        <w:rPr>
          <w:rFonts w:ascii="Arial" w:hAnsi="Arial" w:cs="Arial"/>
        </w:rPr>
      </w:pPr>
      <w:r>
        <w:rPr>
          <w:rFonts w:ascii="Arial" w:hAnsi="Arial" w:cs="Arial"/>
        </w:rPr>
        <w:t>Organizar o fluxo de entrada e saída dos pacientes, garantindo que as consultas ocorram dentro do horário e de forma ordenada.</w:t>
      </w:r>
    </w:p>
    <w:p w14:paraId="1093ABA7">
      <w:pPr>
        <w:pStyle w:val="30"/>
        <w:numPr>
          <w:ilvl w:val="0"/>
          <w:numId w:val="6"/>
        </w:numPr>
        <w:spacing w:before="240" w:line="360" w:lineRule="auto"/>
        <w:ind w:right="-568"/>
        <w:jc w:val="both"/>
        <w:rPr>
          <w:rFonts w:ascii="Arial" w:hAnsi="Arial" w:cs="Arial"/>
        </w:rPr>
      </w:pPr>
      <w:r>
        <w:rPr>
          <w:rFonts w:ascii="Arial" w:hAnsi="Arial" w:cs="Arial"/>
        </w:rPr>
        <w:t>Manter a confidencialidade das informações dos pacientes</w:t>
      </w:r>
    </w:p>
    <w:p w14:paraId="2EFF263F">
      <w:pPr>
        <w:pStyle w:val="30"/>
        <w:numPr>
          <w:ilvl w:val="0"/>
          <w:numId w:val="6"/>
        </w:numPr>
        <w:spacing w:before="240" w:line="360" w:lineRule="auto"/>
        <w:ind w:right="0" w:rightChars="0"/>
        <w:jc w:val="both"/>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43F4DC5D">
      <w:pPr>
        <w:pStyle w:val="30"/>
        <w:numPr>
          <w:ilvl w:val="0"/>
          <w:numId w:val="6"/>
        </w:numPr>
        <w:spacing w:before="240" w:line="360" w:lineRule="auto"/>
        <w:ind w:right="0" w:rightChars="0"/>
        <w:jc w:val="both"/>
        <w:rPr>
          <w:rFonts w:ascii="Arial" w:hAnsi="Arial" w:cs="Arial"/>
        </w:rPr>
      </w:pPr>
      <w:r>
        <w:rPr>
          <w:rFonts w:ascii="Arial" w:hAnsi="Arial" w:cs="Arial"/>
        </w:rPr>
        <w:t>Ronda diárias nas Recepções no Período Matutino e Vespertino abordado: A ação foi realizada no setor</w:t>
      </w:r>
      <w:r>
        <w:rPr>
          <w:rFonts w:hint="default" w:ascii="Arial" w:hAnsi="Arial" w:cs="Arial"/>
          <w:lang w:val="pt-BR"/>
        </w:rPr>
        <w:t xml:space="preserve"> </w:t>
      </w:r>
      <w:r>
        <w:rPr>
          <w:rFonts w:ascii="Arial" w:hAnsi="Arial" w:cs="Arial"/>
        </w:rPr>
        <w:t>destinad</w:t>
      </w:r>
      <w:r>
        <w:rPr>
          <w:rFonts w:hint="default" w:ascii="Arial" w:hAnsi="Arial" w:cs="Arial"/>
          <w:lang w:val="pt-BR"/>
        </w:rPr>
        <w:t>o</w:t>
      </w:r>
      <w:r>
        <w:rPr>
          <w:rFonts w:ascii="Arial" w:hAnsi="Arial" w:cs="Arial"/>
        </w:rPr>
        <w:t xml:space="preserve"> para as recepcionistas. </w:t>
      </w:r>
    </w:p>
    <w:p w14:paraId="476F86F2">
      <w:pPr>
        <w:pStyle w:val="30"/>
        <w:numPr>
          <w:ilvl w:val="0"/>
          <w:numId w:val="6"/>
        </w:numPr>
        <w:spacing w:before="240" w:line="360" w:lineRule="auto"/>
        <w:ind w:right="0" w:rightChars="0"/>
        <w:jc w:val="both"/>
        <w:rPr>
          <w:rFonts w:ascii="Arial" w:hAnsi="Arial" w:cs="Arial"/>
        </w:rPr>
      </w:pPr>
      <w:r>
        <w:rPr>
          <w:rFonts w:ascii="Arial" w:hAnsi="Arial" w:cs="Arial"/>
        </w:rPr>
        <w:t>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443A8DFC">
      <w:pPr>
        <w:spacing w:line="360" w:lineRule="auto"/>
        <w:ind w:left="440" w:leftChars="200" w:firstLine="660" w:firstLineChars="300"/>
        <w:jc w:val="both"/>
        <w:rPr>
          <w:rFonts w:hint="default" w:ascii="Arial" w:hAnsi="Arial" w:cs="Arial"/>
          <w:lang w:val="pt-BR"/>
        </w:rPr>
      </w:pPr>
    </w:p>
    <w:p w14:paraId="6BE983A4">
      <w:pPr>
        <w:spacing w:line="360" w:lineRule="auto"/>
        <w:ind w:left="0" w:leftChars="0" w:firstLine="440" w:firstLineChars="200"/>
        <w:jc w:val="both"/>
        <w:rPr>
          <w:rFonts w:ascii="Arial" w:hAnsi="Arial" w:cs="Arial"/>
          <w:sz w:val="22"/>
          <w:szCs w:val="22"/>
        </w:rPr>
      </w:pPr>
      <w:r>
        <w:rPr>
          <w:rFonts w:hint="default" w:ascii="Arial" w:hAnsi="Arial" w:cs="Arial"/>
          <w:lang w:val="pt-BR"/>
        </w:rPr>
        <w:t xml:space="preserve">   </w:t>
      </w:r>
      <w:r>
        <w:rPr>
          <w:rFonts w:ascii="Arial" w:hAnsi="Arial" w:cs="Arial"/>
          <w:sz w:val="22"/>
          <w:szCs w:val="22"/>
        </w:rPr>
        <w:t xml:space="preserve">Durante o mês de maio, foram mantidas e intensificadas ações estratégicas voltadas à redução da fila de espera para consultas ambulatoriais, com o objetivo de proporcionar aos pacientes um atendimento mais ágil, eficiente e humanizado. </w:t>
      </w:r>
    </w:p>
    <w:p w14:paraId="37847FA1">
      <w:pPr>
        <w:spacing w:line="360" w:lineRule="auto"/>
        <w:ind w:left="0" w:leftChars="0" w:firstLine="440" w:firstLineChars="200"/>
        <w:jc w:val="both"/>
        <w:rPr>
          <w:rFonts w:ascii="Arial" w:hAnsi="Arial" w:cs="Arial"/>
          <w:sz w:val="22"/>
          <w:szCs w:val="22"/>
        </w:rPr>
      </w:pPr>
    </w:p>
    <w:p w14:paraId="27A0C329">
      <w:pPr>
        <w:spacing w:line="360" w:lineRule="auto"/>
        <w:ind w:left="0" w:leftChars="0" w:firstLine="440" w:firstLineChars="200"/>
        <w:jc w:val="both"/>
        <w:rPr>
          <w:rFonts w:ascii="Arial" w:hAnsi="Arial" w:cs="Arial"/>
          <w:sz w:val="22"/>
          <w:szCs w:val="22"/>
        </w:rPr>
      </w:pPr>
      <w:r>
        <w:rPr>
          <w:rFonts w:ascii="Arial" w:hAnsi="Arial" w:cs="Arial"/>
          <w:sz w:val="22"/>
          <w:szCs w:val="22"/>
        </w:rPr>
        <w:t xml:space="preserve">Dentre as principais medidas adotadas, destacam-se as </w:t>
      </w:r>
      <w:r>
        <w:rPr>
          <w:rFonts w:ascii="Arial" w:hAnsi="Arial" w:cs="Arial"/>
          <w:i/>
          <w:iCs/>
          <w:sz w:val="22"/>
          <w:szCs w:val="22"/>
        </w:rPr>
        <w:t>buscas ativas de pacientes</w:t>
      </w:r>
      <w:r>
        <w:rPr>
          <w:rFonts w:ascii="Arial" w:hAnsi="Arial" w:cs="Arial"/>
          <w:sz w:val="22"/>
          <w:szCs w:val="22"/>
        </w:rPr>
        <w:t xml:space="preserve">, a abertura de </w:t>
      </w:r>
      <w:r>
        <w:rPr>
          <w:rFonts w:ascii="Arial" w:hAnsi="Arial" w:cs="Arial"/>
          <w:i/>
          <w:iCs/>
          <w:sz w:val="22"/>
          <w:szCs w:val="22"/>
        </w:rPr>
        <w:t>agendas extras</w:t>
      </w:r>
      <w:r>
        <w:rPr>
          <w:rFonts w:ascii="Arial" w:hAnsi="Arial" w:cs="Arial"/>
          <w:sz w:val="22"/>
          <w:szCs w:val="22"/>
        </w:rPr>
        <w:t xml:space="preserve">, </w:t>
      </w:r>
      <w:r>
        <w:rPr>
          <w:rFonts w:ascii="Arial" w:hAnsi="Arial" w:cs="Arial"/>
          <w:i/>
          <w:iCs/>
          <w:sz w:val="22"/>
          <w:szCs w:val="22"/>
        </w:rPr>
        <w:t>reorganização da agenda de consultas</w:t>
      </w:r>
      <w:r>
        <w:rPr>
          <w:rFonts w:ascii="Arial" w:hAnsi="Arial" w:cs="Arial"/>
          <w:sz w:val="22"/>
          <w:szCs w:val="22"/>
        </w:rPr>
        <w:t xml:space="preserve"> e abertura de agendas internas, o que possibilitou um melhor aproveitamento dos horários disponíveis.</w:t>
      </w:r>
    </w:p>
    <w:p w14:paraId="77FA9B88">
      <w:pPr>
        <w:spacing w:line="360" w:lineRule="auto"/>
        <w:ind w:left="0" w:leftChars="0" w:firstLine="440" w:firstLineChars="200"/>
        <w:jc w:val="both"/>
        <w:rPr>
          <w:rFonts w:ascii="Arial" w:hAnsi="Arial" w:cs="Arial"/>
          <w:sz w:val="22"/>
          <w:szCs w:val="22"/>
        </w:rPr>
      </w:pPr>
    </w:p>
    <w:p w14:paraId="05B83208">
      <w:pPr>
        <w:spacing w:line="360" w:lineRule="auto"/>
        <w:ind w:left="0" w:leftChars="0" w:firstLine="440" w:firstLineChars="200"/>
        <w:jc w:val="both"/>
        <w:rPr>
          <w:rFonts w:ascii="Arial" w:hAnsi="Arial" w:cs="Arial"/>
          <w:sz w:val="22"/>
          <w:szCs w:val="22"/>
        </w:rPr>
      </w:pPr>
      <w:r>
        <w:rPr>
          <w:rFonts w:ascii="Arial" w:hAnsi="Arial" w:cs="Arial"/>
          <w:sz w:val="22"/>
          <w:szCs w:val="22"/>
        </w:rPr>
        <w:t>A ampliação da equipe de recepção e a implementação de sistemas de gestão mais eficazes também foram fundamentais para a otimização do fluxo de pacientes e a redução significativa do tempo de espera. Como resultado, observou-se uma melhora expressiva na percepção dos usuários sobre a qualidade do atendimento, acompanhada de uma diminuição nas reclamações relacionadas à demora nos serviços prestados.</w:t>
      </w:r>
    </w:p>
    <w:p w14:paraId="0DEA3815">
      <w:pPr>
        <w:spacing w:before="240" w:line="360" w:lineRule="auto"/>
        <w:ind w:left="-993" w:right="-568" w:firstLine="1651" w:firstLineChars="750"/>
        <w:jc w:val="both"/>
        <w:rPr>
          <w:rFonts w:ascii="Arial" w:hAnsi="Arial" w:cs="Arial"/>
          <w:b/>
          <w:bCs/>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Guarita</w:t>
      </w:r>
    </w:p>
    <w:p w14:paraId="07C879C0">
      <w:pPr>
        <w:spacing w:before="240" w:line="360" w:lineRule="auto"/>
        <w:ind w:left="0" w:leftChars="0" w:right="-568" w:firstLine="440" w:firstLineChars="200"/>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A função de uma guarita em uma clínica ambulatorial é garantir a segurança e o controle de acesso ao local. Isso inclui:</w:t>
      </w:r>
    </w:p>
    <w:p w14:paraId="76DE3E53">
      <w:pPr>
        <w:pStyle w:val="30"/>
        <w:numPr>
          <w:ilvl w:val="0"/>
          <w:numId w:val="7"/>
        </w:numPr>
        <w:tabs>
          <w:tab w:val="clear" w:pos="420"/>
        </w:tabs>
        <w:spacing w:before="240" w:line="360" w:lineRule="auto"/>
        <w:ind w:left="420" w:leftChars="0" w:right="-568" w:rightChars="0" w:hanging="420" w:firstLineChars="0"/>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Controle de Acesso: Monitorar a entrada e saída de pessoas e veículos, assegurando que apenas indivíduos autorizados entrem nas dependências. </w:t>
      </w:r>
    </w:p>
    <w:p w14:paraId="7CABA5E4">
      <w:pPr>
        <w:pStyle w:val="30"/>
        <w:numPr>
          <w:ilvl w:val="0"/>
          <w:numId w:val="7"/>
        </w:numPr>
        <w:tabs>
          <w:tab w:val="clear" w:pos="420"/>
        </w:tabs>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Segurança: Proteger pacientes, funcionários e bens da clínica, prevenindo situações de risco.</w:t>
      </w:r>
    </w:p>
    <w:p w14:paraId="6F4EBEE5">
      <w:pPr>
        <w:pStyle w:val="30"/>
        <w:numPr>
          <w:ilvl w:val="0"/>
          <w:numId w:val="0"/>
        </w:numPr>
        <w:spacing w:before="240" w:line="360" w:lineRule="auto"/>
        <w:ind w:leftChars="0" w:right="-568" w:right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36E18588">
      <w:pPr>
        <w:pStyle w:val="30"/>
        <w:numPr>
          <w:ilvl w:val="0"/>
          <w:numId w:val="7"/>
        </w:numPr>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Atendimento ao Público: Oferecer informações e orientações a visitantes e pacientes, ajudando na navegação pela clínica.</w:t>
      </w:r>
    </w:p>
    <w:p w14:paraId="4987AC01">
      <w:pPr>
        <w:pStyle w:val="30"/>
        <w:numPr>
          <w:ilvl w:val="0"/>
          <w:numId w:val="0"/>
        </w:numPr>
        <w:spacing w:before="240" w:line="360" w:lineRule="auto"/>
        <w:ind w:leftChars="0" w:right="-568" w:right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4DE340F2">
      <w:pPr>
        <w:pStyle w:val="30"/>
        <w:numPr>
          <w:ilvl w:val="0"/>
          <w:numId w:val="7"/>
        </w:numPr>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Monitoramento: Observar e reportar atividades suspeitas ou emergências, mantendo a comunicação com a equipe interna. </w:t>
      </w:r>
    </w:p>
    <w:p w14:paraId="2FE34606">
      <w:pPr>
        <w:pStyle w:val="30"/>
        <w:numPr>
          <w:ilvl w:val="0"/>
          <w:numId w:val="0"/>
        </w:numPr>
        <w:spacing w:before="240" w:line="360" w:lineRule="auto"/>
        <w:ind w:leftChars="0" w:right="-568" w:right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4D6ABA3F">
      <w:pPr>
        <w:pStyle w:val="30"/>
        <w:numPr>
          <w:ilvl w:val="0"/>
          <w:numId w:val="7"/>
        </w:numPr>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Manutenção da Ordem: Contribuir para a organização das áreas externas, garantindo um ambiente agradável e seguro. Essas funções são essenciais para o bom funcionamento e a tranquilidade da clínica.</w:t>
      </w:r>
    </w:p>
    <w:p w14:paraId="6938E2CA">
      <w:pPr>
        <w:pStyle w:val="30"/>
        <w:spacing w:before="240" w:line="360" w:lineRule="auto"/>
        <w:ind w:left="1080" w:right="-568"/>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4E538570">
      <w:pPr>
        <w:pStyle w:val="30"/>
        <w:spacing w:after="0" w:line="360" w:lineRule="auto"/>
        <w:ind w:left="0" w:leftChars="0" w:firstLine="440" w:firstLineChars="200"/>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Em síntese, as atividades desenvolvidas pela equipe de guarita durante o período de mês de </w:t>
      </w:r>
      <w:r>
        <w:rPr>
          <w:rFonts w:hint="default" w:ascii="Arial" w:hAnsi="Arial" w:cs="Arial"/>
          <w:color w:val="0D0D0D" w:themeColor="text1" w:themeTint="F2"/>
          <w:shd w:val="clear" w:color="auto" w:fill="FFFFFF"/>
          <w:lang w:val="pt-BR"/>
          <w14:textFill>
            <w14:solidFill>
              <w14:schemeClr w14:val="tx1">
                <w14:lumMod w14:val="95000"/>
                <w14:lumOff w14:val="5000"/>
              </w14:schemeClr>
            </w14:solidFill>
          </w14:textFill>
        </w:rPr>
        <w:t xml:space="preserve">maio </w:t>
      </w:r>
      <w:r>
        <w:rPr>
          <w:rFonts w:ascii="Arial" w:hAnsi="Arial" w:cs="Arial"/>
          <w:color w:val="0D0D0D" w:themeColor="text1" w:themeTint="F2"/>
          <w:shd w:val="clear" w:color="auto" w:fill="FFFFFF"/>
          <w14:textFill>
            <w14:solidFill>
              <w14:schemeClr w14:val="tx1">
                <w14:lumMod w14:val="95000"/>
                <w14:lumOff w14:val="5000"/>
              </w14:schemeClr>
            </w14:solidFill>
          </w14:textFill>
        </w:rPr>
        <w:t>demonstraram um comprometimento contínuo com a segurança e a organização dentro da clínica ambulatorial. O controle de acessos nas dependências da clínica foram fundamentais para garantir um ambiente seguro para os pacientes, acompanhantes e colaboradores.</w:t>
      </w:r>
    </w:p>
    <w:p w14:paraId="0344B55F">
      <w:pPr>
        <w:pStyle w:val="30"/>
        <w:spacing w:after="0" w:line="360" w:lineRule="auto"/>
        <w:ind w:left="0" w:leftChars="0" w:firstLine="440" w:firstLineChars="20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1E9D2630">
      <w:pPr>
        <w:pStyle w:val="30"/>
        <w:spacing w:before="240" w:line="360" w:lineRule="auto"/>
        <w:ind w:left="0" w:leftChars="0" w:right="-568" w:firstLine="440" w:firstLineChars="20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Recomendações:</w:t>
      </w:r>
    </w:p>
    <w:p w14:paraId="3E8D1587">
      <w:pPr>
        <w:pStyle w:val="30"/>
        <w:spacing w:after="0" w:line="360" w:lineRule="auto"/>
        <w:ind w:left="0" w:leftChars="0" w:firstLine="440" w:firstLineChars="200"/>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Manter o treinamento contínuo da equipe de segurança, visando aprimorar ainda mais a resposta em situações de emergência.</w:t>
      </w:r>
    </w:p>
    <w:p w14:paraId="4FEFEDF8">
      <w:pPr>
        <w:pStyle w:val="30"/>
        <w:spacing w:after="0" w:line="360" w:lineRule="auto"/>
        <w:ind w:left="0" w:leftChars="0" w:firstLine="440" w:firstLineChars="200"/>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Garantir a atualização regular dos sistemas de monitoramento e controle de acessos. • Avaliar a possibilidade de melhorias na infraestrutura de segurança, conforme novas necessidades ou tecnologias surgirem.</w:t>
      </w:r>
    </w:p>
    <w:p w14:paraId="36DA5486">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7" w:name="_Toc158119972"/>
      <w:bookmarkStart w:id="8" w:name="_Toc192161425"/>
      <w:r>
        <w:rPr>
          <w:rFonts w:ascii="Arial" w:hAnsi="Arial" w:cs="Arial"/>
          <w:b/>
          <w:bCs/>
          <w:color w:val="000000" w:themeColor="text1"/>
          <w:sz w:val="22"/>
          <w:szCs w:val="22"/>
          <w14:textFill>
            <w14:solidFill>
              <w14:schemeClr w14:val="tx1"/>
            </w14:solidFill>
          </w14:textFill>
        </w:rPr>
        <w:t>Equipe Multiprofissional</w:t>
      </w:r>
      <w:bookmarkEnd w:id="7"/>
      <w:bookmarkEnd w:id="8"/>
    </w:p>
    <w:p w14:paraId="12A52DEB">
      <w:pPr>
        <w:spacing w:after="0" w:line="360" w:lineRule="auto"/>
        <w:ind w:left="0" w:leftChars="0" w:firstLine="440" w:firstLineChars="200"/>
        <w:jc w:val="both"/>
        <w:rPr>
          <w:rFonts w:ascii="Arial" w:hAnsi="Arial" w:eastAsia="Arial" w:cs="Arial"/>
        </w:rPr>
      </w:pPr>
      <w:r>
        <w:rPr>
          <w:rFonts w:ascii="Arial" w:hAnsi="Arial" w:eastAsia="Arial" w:cs="Arial"/>
        </w:rPr>
        <w:t>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A operacionalização e a execução das ações e serviços da equipe se dá em regime de 12 horas/dia, em período matutino e vespertino de segunda a sexta-feira.</w:t>
      </w:r>
    </w:p>
    <w:p w14:paraId="2219B5C3">
      <w:pPr>
        <w:spacing w:after="0" w:line="360" w:lineRule="auto"/>
        <w:ind w:left="0" w:leftChars="0" w:firstLine="440" w:firstLineChars="200"/>
        <w:jc w:val="both"/>
        <w:rPr>
          <w:rFonts w:ascii="Arial" w:hAnsi="Arial" w:eastAsia="Arial" w:cs="Arial"/>
        </w:rPr>
      </w:pPr>
    </w:p>
    <w:p w14:paraId="65DF52E8">
      <w:pPr>
        <w:spacing w:after="0" w:line="360" w:lineRule="auto"/>
        <w:ind w:left="0" w:leftChars="0" w:firstLine="440" w:firstLineChars="200"/>
        <w:jc w:val="both"/>
        <w:rPr>
          <w:rFonts w:ascii="Arial" w:hAnsi="Arial" w:eastAsia="Arial" w:cs="Arial"/>
        </w:rPr>
      </w:pPr>
      <w:r>
        <w:rPr>
          <w:rFonts w:ascii="Arial" w:hAnsi="Arial" w:eastAsia="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70FFC7A3">
      <w:pPr>
        <w:spacing w:after="0" w:line="360" w:lineRule="auto"/>
        <w:ind w:left="0" w:leftChars="0" w:firstLine="440" w:firstLineChars="200"/>
        <w:jc w:val="both"/>
        <w:rPr>
          <w:rFonts w:ascii="Arial" w:hAnsi="Arial" w:eastAsia="Arial" w:cs="Arial"/>
        </w:rPr>
      </w:pPr>
    </w:p>
    <w:p w14:paraId="437C7382">
      <w:pPr>
        <w:spacing w:after="0" w:line="360" w:lineRule="auto"/>
        <w:ind w:left="0" w:leftChars="0" w:firstLine="440" w:firstLineChars="200"/>
        <w:jc w:val="both"/>
        <w:rPr>
          <w:rFonts w:ascii="Arial" w:hAnsi="Arial" w:eastAsia="Arial" w:cs="Arial"/>
        </w:rPr>
      </w:pPr>
      <w:r>
        <w:rPr>
          <w:rFonts w:ascii="Arial" w:hAnsi="Arial" w:eastAsia="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w:t>
      </w:r>
      <w:r>
        <w:rPr>
          <w:rFonts w:ascii="Arial" w:hAnsi="Arial" w:eastAsia="Arial" w:cs="Arial"/>
          <w:lang w:val="pt-BR"/>
        </w:rPr>
        <w:t>auto cuidado</w:t>
      </w:r>
      <w:r>
        <w:rPr>
          <w:rFonts w:ascii="Arial" w:hAnsi="Arial" w:eastAsia="Arial" w:cs="Arial"/>
        </w:rPr>
        <w:t xml:space="preserve">, projeto terapêutico individualizado, estratificação do risco do paciente, considerando o usuário como protagonista do plano de cuidado. </w:t>
      </w:r>
    </w:p>
    <w:p w14:paraId="0E1F8FA7">
      <w:pPr>
        <w:spacing w:after="0" w:line="360" w:lineRule="auto"/>
        <w:ind w:left="0" w:leftChars="0" w:firstLine="440" w:firstLineChars="200"/>
        <w:jc w:val="both"/>
        <w:rPr>
          <w:rFonts w:ascii="Arial" w:hAnsi="Arial" w:eastAsia="Arial" w:cs="Arial"/>
        </w:rPr>
      </w:pPr>
    </w:p>
    <w:p w14:paraId="5CE4A1E3">
      <w:pPr>
        <w:spacing w:after="0" w:line="360" w:lineRule="auto"/>
        <w:ind w:firstLine="709"/>
        <w:jc w:val="both"/>
        <w:rPr>
          <w:rFonts w:ascii="Arial" w:hAnsi="Arial" w:eastAsia="Arial" w:cs="Arial"/>
        </w:rPr>
      </w:pPr>
      <w:r>
        <w:rPr>
          <w:rFonts w:hint="default" w:ascii="Arial" w:hAnsi="Arial" w:eastAsia="Arial" w:cs="Arial"/>
          <w:lang w:val="pt-BR"/>
        </w:rPr>
        <w:t xml:space="preserve">            </w:t>
      </w:r>
      <w:r>
        <w:rPr>
          <w:rFonts w:ascii="Arial" w:hAnsi="Arial" w:eastAsia="Arial" w:cs="Arial"/>
        </w:rPr>
        <w:drawing>
          <wp:inline distT="114300" distB="114300" distL="114300" distR="114300">
            <wp:extent cx="4357370" cy="3061335"/>
            <wp:effectExtent l="25400" t="25400" r="36830" b="37465"/>
            <wp:docPr id="1767303772" name="image13.png" descr="Gráfico"/>
            <wp:cNvGraphicFramePr/>
            <a:graphic xmlns:a="http://schemas.openxmlformats.org/drawingml/2006/main">
              <a:graphicData uri="http://schemas.openxmlformats.org/drawingml/2006/picture">
                <pic:pic xmlns:pic="http://schemas.openxmlformats.org/drawingml/2006/picture">
                  <pic:nvPicPr>
                    <pic:cNvPr id="1767303772" name="image13.png" descr="Gráfico"/>
                    <pic:cNvPicPr preferRelativeResize="0"/>
                  </pic:nvPicPr>
                  <pic:blipFill>
                    <a:blip r:embed="rId15"/>
                    <a:srcRect/>
                    <a:stretch>
                      <a:fillRect/>
                    </a:stretch>
                  </pic:blipFill>
                  <pic:spPr>
                    <a:xfrm>
                      <a:off x="0" y="0"/>
                      <a:ext cx="4357370" cy="3061335"/>
                    </a:xfrm>
                    <a:prstGeom prst="rect">
                      <a:avLst/>
                    </a:prstGeom>
                    <a:ln w="25400">
                      <a:solidFill>
                        <a:srgbClr val="000000"/>
                      </a:solidFill>
                      <a:prstDash val="solid"/>
                    </a:ln>
                  </pic:spPr>
                </pic:pic>
              </a:graphicData>
            </a:graphic>
          </wp:inline>
        </w:drawing>
      </w:r>
    </w:p>
    <w:p w14:paraId="61B0BFA2">
      <w:pPr>
        <w:spacing w:after="0" w:line="360" w:lineRule="auto"/>
        <w:ind w:firstLine="709"/>
        <w:jc w:val="both"/>
        <w:rPr>
          <w:rFonts w:ascii="Arial" w:hAnsi="Arial" w:eastAsia="Arial" w:cs="Arial"/>
        </w:rPr>
      </w:pPr>
    </w:p>
    <w:p w14:paraId="5C679764">
      <w:pPr>
        <w:pStyle w:val="29"/>
        <w:spacing w:before="240" w:beforeAutospacing="0" w:after="240" w:line="360" w:lineRule="auto"/>
        <w:ind w:left="-993" w:right="-568" w:firstLine="697"/>
        <w:jc w:val="center"/>
        <w:rPr>
          <w:rFonts w:ascii="Arial" w:hAnsi="Arial" w:cs="Arial"/>
          <w:bCs/>
          <w:sz w:val="20"/>
          <w:szCs w:val="20"/>
        </w:rPr>
      </w:pPr>
      <w:r>
        <w:drawing>
          <wp:inline distT="114300" distB="114300" distL="114300" distR="114300">
            <wp:extent cx="5756910" cy="3556000"/>
            <wp:effectExtent l="25400" t="25400" r="27940" b="38100"/>
            <wp:docPr id="1767303773" name="image6.png" descr="Gráfico"/>
            <wp:cNvGraphicFramePr/>
            <a:graphic xmlns:a="http://schemas.openxmlformats.org/drawingml/2006/main">
              <a:graphicData uri="http://schemas.openxmlformats.org/drawingml/2006/picture">
                <pic:pic xmlns:pic="http://schemas.openxmlformats.org/drawingml/2006/picture">
                  <pic:nvPicPr>
                    <pic:cNvPr id="1767303773" name="image6.png" descr="Gráfico"/>
                    <pic:cNvPicPr preferRelativeResize="0"/>
                  </pic:nvPicPr>
                  <pic:blipFill>
                    <a:blip r:embed="rId16"/>
                    <a:srcRect/>
                    <a:stretch>
                      <a:fillRect/>
                    </a:stretch>
                  </pic:blipFill>
                  <pic:spPr>
                    <a:xfrm>
                      <a:off x="0" y="0"/>
                      <a:ext cx="5757235" cy="3556000"/>
                    </a:xfrm>
                    <a:prstGeom prst="rect">
                      <a:avLst/>
                    </a:prstGeom>
                    <a:ln w="25400">
                      <a:solidFill>
                        <a:srgbClr val="000000"/>
                      </a:solidFill>
                      <a:prstDash val="solid"/>
                    </a:ln>
                  </pic:spPr>
                </pic:pic>
              </a:graphicData>
            </a:graphic>
          </wp:inline>
        </w:drawing>
      </w:r>
    </w:p>
    <w:p w14:paraId="70096459">
      <w:pPr>
        <w:pStyle w:val="29"/>
        <w:spacing w:before="0" w:beforeAutospacing="0" w:after="0" w:line="360" w:lineRule="auto"/>
        <w:ind w:left="0" w:firstLine="0"/>
        <w:rPr>
          <w:rFonts w:hint="default" w:ascii="Arial" w:hAnsi="Arial" w:eastAsia="Arial" w:cs="Arial"/>
          <w:sz w:val="22"/>
          <w:szCs w:val="22"/>
          <w:lang w:val="pt-BR"/>
        </w:rPr>
      </w:pPr>
      <w:r>
        <w:rPr>
          <w:rFonts w:ascii="Arial" w:hAnsi="Arial" w:eastAsia="Cambria" w:cs="Arial"/>
          <w:sz w:val="22"/>
          <w:szCs w:val="22"/>
        </w:rPr>
        <w:t>O quadro acima apresenta a produção da equipe</w:t>
      </w:r>
      <w:r>
        <w:rPr>
          <w:rFonts w:hint="default" w:ascii="Arial" w:hAnsi="Arial" w:eastAsia="Cambria" w:cs="Arial"/>
          <w:sz w:val="22"/>
          <w:szCs w:val="22"/>
          <w:lang w:val="pt-BR"/>
        </w:rPr>
        <w:t xml:space="preserve"> </w:t>
      </w:r>
      <w:r>
        <w:rPr>
          <w:rFonts w:hint="default" w:ascii="Arial" w:hAnsi="Arial" w:eastAsia="Cambria" w:cs="Arial"/>
          <w:b w:val="0"/>
          <w:bCs w:val="0"/>
          <w:sz w:val="22"/>
          <w:szCs w:val="22"/>
          <w:rtl w:val="0"/>
        </w:rPr>
        <w:t xml:space="preserve">referente ao mês de </w:t>
      </w:r>
      <w:r>
        <w:rPr>
          <w:rFonts w:hint="default" w:ascii="Arial" w:hAnsi="Arial" w:eastAsia="Cambria" w:cs="Arial"/>
          <w:b w:val="0"/>
          <w:bCs w:val="0"/>
          <w:sz w:val="22"/>
          <w:szCs w:val="22"/>
          <w:rtl w:val="0"/>
          <w:lang w:val="pt-BR"/>
        </w:rPr>
        <w:t>maio</w:t>
      </w:r>
      <w:r>
        <w:rPr>
          <w:rFonts w:hint="default" w:ascii="Arial" w:hAnsi="Arial" w:eastAsia="Cambria" w:cs="Arial"/>
          <w:b w:val="0"/>
          <w:bCs w:val="0"/>
          <w:sz w:val="22"/>
          <w:szCs w:val="22"/>
          <w:rtl w:val="0"/>
        </w:rPr>
        <w:t xml:space="preserve"> de 2025. </w:t>
      </w:r>
      <w:r>
        <w:rPr>
          <w:rFonts w:hint="default" w:ascii="Arial" w:hAnsi="Arial" w:eastAsia="Cambria" w:cs="Arial"/>
          <w:b w:val="0"/>
          <w:bCs w:val="0"/>
          <w:sz w:val="22"/>
          <w:szCs w:val="22"/>
          <w:rtl w:val="0"/>
          <w:lang w:val="pt-BR"/>
        </w:rPr>
        <w:t>v</w:t>
      </w:r>
      <w:r>
        <w:rPr>
          <w:rFonts w:hint="default" w:ascii="Arial" w:hAnsi="Arial" w:eastAsia="Cambria" w:cs="Arial"/>
          <w:b w:val="0"/>
          <w:bCs w:val="0"/>
          <w:sz w:val="22"/>
          <w:szCs w:val="22"/>
          <w:rtl w:val="0"/>
        </w:rPr>
        <w:t>isto que a meta é global segundo o plano operacional, da equipe multiprofissional tem que produzir 4.200 atendimentos, e a produção das assistentes sociais não iram ma</w:t>
      </w:r>
      <w:r>
        <w:rPr>
          <w:rFonts w:hint="default" w:ascii="Arial" w:hAnsi="Arial" w:eastAsia="Cambria" w:cs="Arial"/>
          <w:b w:val="0"/>
          <w:bCs w:val="0"/>
          <w:sz w:val="22"/>
          <w:szCs w:val="22"/>
          <w:rtl w:val="0"/>
          <w:lang w:val="pt-BR"/>
        </w:rPr>
        <w:t>i</w:t>
      </w:r>
      <w:r>
        <w:rPr>
          <w:rFonts w:hint="default" w:ascii="Arial" w:hAnsi="Arial" w:eastAsia="Cambria" w:cs="Arial"/>
          <w:b w:val="0"/>
          <w:bCs w:val="0"/>
          <w:sz w:val="22"/>
          <w:szCs w:val="22"/>
          <w:rtl w:val="0"/>
        </w:rPr>
        <w:t>s contabilizar com a equipe multiprofissional</w:t>
      </w:r>
      <w:r>
        <w:rPr>
          <w:rFonts w:hint="default" w:ascii="Arial" w:hAnsi="Arial" w:eastAsia="Cambria" w:cs="Arial"/>
          <w:b w:val="0"/>
          <w:bCs w:val="0"/>
          <w:sz w:val="22"/>
          <w:szCs w:val="22"/>
          <w:rtl w:val="0"/>
          <w:lang w:val="pt-BR"/>
        </w:rPr>
        <w:t>.</w:t>
      </w:r>
    </w:p>
    <w:p w14:paraId="5ECD7B72">
      <w:pPr>
        <w:pStyle w:val="29"/>
        <w:spacing w:before="0" w:beforeAutospacing="0" w:after="0" w:line="360" w:lineRule="auto"/>
        <w:ind w:left="0" w:firstLine="0"/>
        <w:rPr>
          <w:rFonts w:ascii="Arial" w:hAnsi="Arial" w:eastAsia="Arial" w:cs="Arial"/>
          <w:sz w:val="22"/>
          <w:szCs w:val="22"/>
        </w:rPr>
      </w:pPr>
    </w:p>
    <w:p w14:paraId="2346569A">
      <w:pPr>
        <w:keepLines/>
        <w:tabs>
          <w:tab w:val="left" w:pos="284"/>
        </w:tabs>
        <w:spacing w:after="80" w:line="276" w:lineRule="auto"/>
        <w:rPr>
          <w:rFonts w:ascii="Arial" w:hAnsi="Arial" w:eastAsia="Times New Roman" w:cs="Arial"/>
          <w:bCs/>
          <w:sz w:val="20"/>
          <w:szCs w:val="20"/>
        </w:rPr>
      </w:pPr>
      <w:r>
        <w:rPr>
          <w:rFonts w:ascii="Arial" w:hAnsi="Arial" w:cs="Arial"/>
          <w:bCs/>
          <w:sz w:val="18"/>
          <w:szCs w:val="18"/>
        </w:rPr>
        <w:t xml:space="preserve">                         </w:t>
      </w:r>
    </w:p>
    <w:p w14:paraId="39963A61">
      <w:pPr>
        <w:pStyle w:val="29"/>
        <w:spacing w:before="240" w:beforeAutospacing="0" w:after="240" w:line="360" w:lineRule="auto"/>
        <w:ind w:left="-993" w:right="-568" w:firstLine="697"/>
        <w:rPr>
          <w:rFonts w:ascii="Arial" w:hAnsi="Arial" w:cs="Arial"/>
          <w:color w:val="000000" w:themeColor="text1"/>
          <w:sz w:val="20"/>
          <w:szCs w:val="20"/>
          <w14:textFill>
            <w14:solidFill>
              <w14:schemeClr w14:val="tx1"/>
            </w14:solidFill>
          </w14:textFill>
        </w:rPr>
      </w:pPr>
      <w:r>
        <w:rPr>
          <w:rFonts w:ascii="Arial" w:hAnsi="Arial" w:eastAsia="Arial" w:cs="Arial"/>
          <w:b/>
          <w:color w:val="000000" w:themeColor="text1"/>
          <w:sz w:val="22"/>
          <w:szCs w:val="22"/>
          <w14:textFill>
            <w14:solidFill>
              <w14:schemeClr w14:val="tx1"/>
            </w14:solidFill>
          </w14:textFill>
        </w:rPr>
        <w:t>Práticas Integrativas Complementares</w:t>
      </w:r>
    </w:p>
    <w:p w14:paraId="477F3939">
      <w:pPr>
        <w:spacing w:after="0" w:line="360" w:lineRule="auto"/>
        <w:ind w:left="0" w:leftChars="0" w:firstLine="440" w:firstLineChars="200"/>
        <w:jc w:val="both"/>
        <w:rPr>
          <w:rFonts w:ascii="Arial" w:hAnsi="Arial" w:eastAsia="Arial" w:cs="Arial"/>
        </w:rPr>
      </w:pPr>
      <w:r>
        <w:rPr>
          <w:rFonts w:ascii="Arial" w:hAnsi="Arial" w:eastAsia="Cambria" w:cs="Arial"/>
        </w:rPr>
        <w:t xml:space="preserve">     </w:t>
      </w:r>
      <w:r>
        <w:rPr>
          <w:rFonts w:ascii="Arial" w:hAnsi="Arial" w:eastAsia="Arial" w:cs="Arial"/>
        </w:rPr>
        <w:t xml:space="preserve">As Práticas Integrativas Complementares (PICs) são indicadas na prevenção, promoção e recuperação da saúde oferecendo mais opções de tratamento, atuando em níveis físico, mental, emocional e energético. </w:t>
      </w:r>
    </w:p>
    <w:p w14:paraId="59B81591">
      <w:pPr>
        <w:spacing w:after="0" w:line="360" w:lineRule="auto"/>
        <w:ind w:left="0" w:leftChars="0" w:firstLine="440" w:firstLineChars="200"/>
        <w:jc w:val="both"/>
        <w:rPr>
          <w:rFonts w:ascii="Arial" w:hAnsi="Arial" w:eastAsia="Arial" w:cs="Arial"/>
        </w:rPr>
      </w:pPr>
    </w:p>
    <w:p w14:paraId="4384CB35">
      <w:pPr>
        <w:spacing w:after="0" w:line="360" w:lineRule="auto"/>
        <w:ind w:left="0" w:leftChars="0" w:firstLine="440" w:firstLineChars="200"/>
        <w:jc w:val="both"/>
        <w:rPr>
          <w:rFonts w:ascii="Arial" w:hAnsi="Arial" w:eastAsia="Arial" w:cs="Arial"/>
        </w:rPr>
      </w:pPr>
      <w:r>
        <w:rPr>
          <w:rFonts w:ascii="Arial" w:hAnsi="Arial" w:eastAsia="Arial" w:cs="Arial"/>
        </w:rPr>
        <w:t xml:space="preserve">O SUS oferta 29 práticas PICs na rede, destas, a Unidade oferta seis tipos de práticas diferentes, sendo elas: auriculoterapia, ventosa terapia, meditação, aromaterapia, massoterapia, naturopatia, musicoterapia e arteterapia. </w:t>
      </w:r>
    </w:p>
    <w:p w14:paraId="3FE6264D">
      <w:pPr>
        <w:spacing w:after="0" w:line="360" w:lineRule="auto"/>
        <w:ind w:left="0" w:leftChars="0" w:firstLine="440" w:firstLineChars="200"/>
        <w:jc w:val="both"/>
        <w:rPr>
          <w:rFonts w:ascii="Arial" w:hAnsi="Arial" w:eastAsia="Arial" w:cs="Arial"/>
        </w:rPr>
      </w:pPr>
    </w:p>
    <w:p w14:paraId="6F8260BF">
      <w:pPr>
        <w:spacing w:after="0" w:line="360" w:lineRule="auto"/>
        <w:ind w:left="0" w:leftChars="0" w:firstLine="440" w:firstLineChars="200"/>
        <w:jc w:val="both"/>
        <w:rPr>
          <w:rFonts w:ascii="Arial" w:hAnsi="Arial" w:eastAsia="Arial" w:cs="Arial"/>
        </w:rPr>
      </w:pPr>
      <w:r>
        <w:rPr>
          <w:rFonts w:ascii="Arial" w:hAnsi="Arial" w:eastAsia="Arial" w:cs="Arial"/>
        </w:rPr>
        <w:t>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2E5D8825">
      <w:pPr>
        <w:pStyle w:val="29"/>
        <w:spacing w:before="240" w:beforeAutospacing="0" w:after="240" w:line="360" w:lineRule="auto"/>
        <w:ind w:left="-993" w:right="-568" w:firstLine="697"/>
        <w:jc w:val="center"/>
        <w:rPr>
          <w:rFonts w:ascii="Arial" w:hAnsi="Arial" w:eastAsia="Arial" w:cs="Arial"/>
        </w:rPr>
      </w:pPr>
      <w:r>
        <w:rPr>
          <w:rFonts w:ascii="Arial" w:hAnsi="Arial" w:eastAsia="Arial" w:cs="Arial"/>
        </w:rPr>
        <w:drawing>
          <wp:inline distT="114300" distB="114300" distL="114300" distR="114300">
            <wp:extent cx="5566410" cy="3185160"/>
            <wp:effectExtent l="25400" t="25400" r="27940" b="27940"/>
            <wp:docPr id="1" name="image5.png" descr="Gráfico"/>
            <wp:cNvGraphicFramePr/>
            <a:graphic xmlns:a="http://schemas.openxmlformats.org/drawingml/2006/main">
              <a:graphicData uri="http://schemas.openxmlformats.org/drawingml/2006/picture">
                <pic:pic xmlns:pic="http://schemas.openxmlformats.org/drawingml/2006/picture">
                  <pic:nvPicPr>
                    <pic:cNvPr id="1" name="image5.png" descr="Gráfico"/>
                    <pic:cNvPicPr preferRelativeResize="0"/>
                  </pic:nvPicPr>
                  <pic:blipFill>
                    <a:blip r:embed="rId17"/>
                    <a:srcRect/>
                    <a:stretch>
                      <a:fillRect/>
                    </a:stretch>
                  </pic:blipFill>
                  <pic:spPr>
                    <a:xfrm>
                      <a:off x="0" y="0"/>
                      <a:ext cx="5566410" cy="3185160"/>
                    </a:xfrm>
                    <a:prstGeom prst="rect">
                      <a:avLst/>
                    </a:prstGeom>
                    <a:ln w="25400">
                      <a:solidFill>
                        <a:srgbClr val="000000"/>
                      </a:solidFill>
                      <a:prstDash val="solid"/>
                    </a:ln>
                  </pic:spPr>
                </pic:pic>
              </a:graphicData>
            </a:graphic>
          </wp:inline>
        </w:drawing>
      </w:r>
    </w:p>
    <w:p w14:paraId="04476845">
      <w:pPr>
        <w:pStyle w:val="29"/>
        <w:spacing w:before="240" w:beforeAutospacing="0" w:after="240" w:line="360" w:lineRule="auto"/>
        <w:ind w:left="-993" w:right="-568" w:firstLine="697"/>
        <w:jc w:val="center"/>
        <w:rPr>
          <w:rFonts w:ascii="Arial" w:hAnsi="Arial" w:cs="Arial"/>
          <w:color w:val="FF0000"/>
          <w:sz w:val="22"/>
          <w:szCs w:val="22"/>
        </w:rPr>
      </w:pPr>
      <w:r>
        <w:rPr>
          <w:rFonts w:ascii="Arial" w:hAnsi="Arial" w:eastAsia="Arial" w:cs="Arial"/>
          <w:bCs/>
          <w:sz w:val="22"/>
          <w:szCs w:val="22"/>
        </w:rPr>
        <w:t>Produção PICS</w:t>
      </w:r>
    </w:p>
    <w:p w14:paraId="790E9E4F">
      <w:pPr>
        <w:keepLines/>
        <w:tabs>
          <w:tab w:val="left" w:pos="284"/>
        </w:tabs>
        <w:spacing w:after="0" w:line="240" w:lineRule="auto"/>
        <w:jc w:val="center"/>
        <w:rPr>
          <w:rFonts w:ascii="Arial" w:hAnsi="Arial" w:eastAsia="Arial" w:cs="Arial"/>
          <w:bCs/>
        </w:rPr>
      </w:pPr>
    </w:p>
    <w:p w14:paraId="62AF5C93">
      <w:pPr>
        <w:pStyle w:val="29"/>
        <w:spacing w:before="0" w:beforeAutospacing="0" w:after="0" w:line="360" w:lineRule="auto"/>
        <w:ind w:left="0" w:firstLine="697"/>
        <w:rPr>
          <w:rFonts w:ascii="Arial" w:hAnsi="Arial" w:eastAsia="Arial" w:cs="Arial"/>
        </w:rPr>
      </w:pPr>
      <w:r>
        <w:rPr>
          <w:rFonts w:ascii="Arial" w:hAnsi="Arial" w:eastAsia="Arial" w:cs="Arial"/>
        </w:rPr>
        <w:t xml:space="preserve">       </w:t>
      </w:r>
      <w:r>
        <w:rPr>
          <w:rFonts w:ascii="Arial" w:hAnsi="Arial" w:eastAsia="Arial" w:cs="Arial"/>
          <w:sz w:val="22"/>
          <w:szCs w:val="22"/>
        </w:rPr>
        <w:t xml:space="preserve">As práticas integrativas são realizadas pelos seguintes profissionais fisioterapeutas, nutricionistas e psicólogos, percebe se que a demanda destes procedimentos aumentou no decorrer dos meses, entende se que os procedimentos estão sendo bem aderidos pelos clientes, contribuído para uma melhoria da qualidade de vida. No gráfico acima apresenta a produção do mês de </w:t>
      </w:r>
      <w:r>
        <w:rPr>
          <w:rFonts w:hint="default" w:ascii="Arial" w:hAnsi="Arial" w:eastAsia="Arial" w:cs="Arial"/>
          <w:sz w:val="22"/>
          <w:szCs w:val="22"/>
          <w:lang w:val="pt-BR"/>
        </w:rPr>
        <w:t>maio</w:t>
      </w:r>
      <w:r>
        <w:rPr>
          <w:rFonts w:ascii="Arial" w:hAnsi="Arial" w:eastAsia="Arial" w:cs="Arial"/>
        </w:rPr>
        <w:t>.</w:t>
      </w:r>
    </w:p>
    <w:p w14:paraId="4F7CF095">
      <w:pPr>
        <w:pStyle w:val="29"/>
        <w:spacing w:before="0" w:beforeAutospacing="0" w:after="0" w:line="360" w:lineRule="auto"/>
        <w:ind w:left="0" w:firstLine="697"/>
        <w:rPr>
          <w:rFonts w:ascii="Arial" w:hAnsi="Arial" w:eastAsia="Arial" w:cs="Arial"/>
        </w:rPr>
      </w:pPr>
    </w:p>
    <w:p w14:paraId="1C635EF1">
      <w:pPr>
        <w:pStyle w:val="29"/>
        <w:spacing w:before="0" w:beforeAutospacing="0" w:after="0" w:line="360" w:lineRule="auto"/>
        <w:ind w:left="0" w:firstLine="697"/>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Linha de Cuidado da Doença Renal Crônica</w:t>
      </w:r>
    </w:p>
    <w:p w14:paraId="0A25BA35">
      <w:pPr>
        <w:pStyle w:val="29"/>
        <w:spacing w:before="0" w:beforeAutospacing="0" w:after="0" w:line="360" w:lineRule="auto"/>
        <w:ind w:left="0" w:firstLine="697"/>
        <w:rPr>
          <w:rFonts w:ascii="Arial" w:hAnsi="Arial" w:cs="Arial"/>
          <w:b/>
          <w:bCs/>
          <w:color w:val="000000" w:themeColor="text1"/>
          <w:sz w:val="22"/>
          <w:szCs w:val="22"/>
          <w14:textFill>
            <w14:solidFill>
              <w14:schemeClr w14:val="tx1"/>
            </w14:solidFill>
          </w14:textFill>
        </w:rPr>
      </w:pPr>
    </w:p>
    <w:p w14:paraId="014C77C8">
      <w:pPr>
        <w:spacing w:after="0" w:line="360" w:lineRule="auto"/>
        <w:ind w:firstLine="709"/>
        <w:jc w:val="both"/>
        <w:rPr>
          <w:rFonts w:ascii="Arial" w:hAnsi="Arial" w:eastAsia="Arial" w:cs="Arial"/>
          <w:highlight w:val="white"/>
        </w:rPr>
      </w:pPr>
      <w:r>
        <w:rPr>
          <w:rFonts w:ascii="Arial" w:hAnsi="Arial" w:eastAsia="Arial" w:cs="Arial"/>
          <w:highlight w:val="white"/>
        </w:rPr>
        <w:t>A linha de Cuidado da Doença Renal Crônica considera os 4</w:t>
      </w:r>
      <w:r>
        <w:rPr>
          <w:rFonts w:hint="default" w:ascii="Arial" w:hAnsi="Arial" w:eastAsia="Arial" w:cs="Arial"/>
          <w:highlight w:val="white"/>
          <w:lang w:val="pt-BR"/>
        </w:rPr>
        <w:t>2</w:t>
      </w:r>
      <w:r>
        <w:rPr>
          <w:rFonts w:ascii="Arial" w:hAnsi="Arial" w:eastAsia="Arial" w:cs="Arial"/>
          <w:highlight w:val="white"/>
        </w:rPr>
        <w:t xml:space="preserve"> pacientes inseridos em tratamento de hemodiálise na unidade. Esses pacientes são distribuídos em 6 turnos de hemodiálise, e contam com atendimento diário da equipe multiprofissional em sala de hemodiálise durante sessão.</w:t>
      </w:r>
    </w:p>
    <w:p w14:paraId="68C3DA67">
      <w:pPr>
        <w:spacing w:after="0" w:line="360" w:lineRule="auto"/>
        <w:ind w:firstLine="709"/>
        <w:jc w:val="both"/>
        <w:rPr>
          <w:rFonts w:ascii="Arial" w:hAnsi="Arial" w:eastAsia="Arial" w:cs="Arial"/>
          <w:highlight w:val="white"/>
        </w:rPr>
      </w:pPr>
    </w:p>
    <w:p w14:paraId="6D9BD72B">
      <w:pPr>
        <w:spacing w:after="0" w:line="360" w:lineRule="auto"/>
        <w:ind w:firstLine="709"/>
        <w:jc w:val="both"/>
        <w:rPr>
          <w:rFonts w:ascii="Arial" w:hAnsi="Arial" w:eastAsia="Arial" w:cs="Arial"/>
          <w:highlight w:val="white"/>
        </w:rPr>
      </w:pPr>
      <w:r>
        <w:rPr>
          <w:rFonts w:ascii="Arial" w:hAnsi="Arial" w:eastAsia="Arial" w:cs="Arial"/>
          <w:highlight w:val="white"/>
        </w:rPr>
        <w:t xml:space="preserve"> Além disso, são realizadas discussões de caso mensalmente com toda equipe, e nefrologista responsável. Hoje observamos os atendimentos de hemodiálise como grande parte da produção da equipe multiprofissional na unidade.</w:t>
      </w:r>
    </w:p>
    <w:p w14:paraId="00000238">
      <w:pPr>
        <w:tabs>
          <w:tab w:val="left" w:pos="795"/>
        </w:tabs>
        <w:spacing w:before="160"/>
        <w:jc w:val="both"/>
        <w:rPr>
          <w:rFonts w:ascii="Arial" w:hAnsi="Arial" w:eastAsia="Arial" w:cs="Arial"/>
        </w:rPr>
      </w:pPr>
      <w:r>
        <w:rPr>
          <w:rFonts w:ascii="Arial" w:hAnsi="Arial" w:eastAsia="Arial" w:cs="Arial"/>
          <w:rtl w:val="0"/>
        </w:rPr>
        <w:t xml:space="preserve">   Por meio das ações promovidas nos períodos apresentados, foi possível perceber o aumento da produção da equipe, promovendo o engajamento, comprometimento da equipe em produzir um atendimento de qualidade e eficiência ao cliente.</w:t>
      </w:r>
    </w:p>
    <w:p w14:paraId="00000239">
      <w:pPr>
        <w:tabs>
          <w:tab w:val="left" w:pos="795"/>
        </w:tabs>
        <w:spacing w:before="160"/>
        <w:jc w:val="both"/>
        <w:rPr>
          <w:rFonts w:ascii="Arial" w:hAnsi="Arial" w:eastAsia="Arial" w:cs="Arial"/>
        </w:rPr>
      </w:pPr>
      <w:r>
        <w:rPr>
          <w:rFonts w:ascii="Arial" w:hAnsi="Arial" w:eastAsia="Arial" w:cs="Arial"/>
          <w:rtl w:val="0"/>
        </w:rPr>
        <w:t xml:space="preserve">   Através das estratégias abordadas como a capacitação de toda a equipe multiprofissional terapias de práticas integrativas, nos dias de atendimento do endocrinologista as nutricionistas passaram a atender na sala ao lado. Facilitando o fluxo, tornando o atendimento mais ágil e atingindo a meta mensalmente.</w:t>
      </w:r>
    </w:p>
    <w:p w14:paraId="0000023A">
      <w:pPr>
        <w:tabs>
          <w:tab w:val="left" w:pos="795"/>
        </w:tabs>
        <w:spacing w:before="160"/>
        <w:jc w:val="both"/>
        <w:rPr>
          <w:rFonts w:ascii="Arial" w:hAnsi="Arial" w:eastAsia="Arial" w:cs="Arial"/>
        </w:rPr>
      </w:pPr>
      <w:r>
        <w:rPr>
          <w:rFonts w:ascii="Arial" w:hAnsi="Arial" w:eastAsia="Arial" w:cs="Arial"/>
          <w:rtl w:val="0"/>
        </w:rPr>
        <w:t xml:space="preserve">    Por meio de reuniões com a equipe mensalmente para discutirmos, sobre as melhorias a serem desenvolvidas no decorrer do mês, ações a serem realizadas em prol de um atendimento qualificado, buscando capacitações e treinamentos. Semanalmente realizamos discussão de </w:t>
      </w:r>
      <w:r>
        <w:rPr>
          <w:rFonts w:hint="default" w:ascii="Arial" w:hAnsi="Arial" w:eastAsia="Arial" w:cs="Arial"/>
          <w:rtl w:val="0"/>
          <w:lang w:val="pt-BR"/>
        </w:rPr>
        <w:t>PTS</w:t>
      </w:r>
      <w:r>
        <w:rPr>
          <w:rFonts w:ascii="Arial" w:hAnsi="Arial" w:eastAsia="Arial" w:cs="Arial"/>
          <w:rtl w:val="0"/>
        </w:rPr>
        <w:t xml:space="preserve"> (plano terapêutico).</w:t>
      </w:r>
    </w:p>
    <w:p w14:paraId="7ECC4C4C">
      <w:pPr>
        <w:tabs>
          <w:tab w:val="left" w:pos="795"/>
        </w:tabs>
        <w:spacing w:before="160"/>
        <w:jc w:val="both"/>
        <w:rPr>
          <w:rFonts w:ascii="Arial" w:hAnsi="Arial" w:eastAsia="Arial" w:cs="Arial"/>
          <w:rtl w:val="0"/>
        </w:rPr>
      </w:pPr>
      <w:r>
        <w:rPr>
          <w:rFonts w:ascii="Arial" w:hAnsi="Arial" w:eastAsia="Arial" w:cs="Arial"/>
          <w:rtl w:val="0"/>
        </w:rPr>
        <w:t xml:space="preserve">     Gerenciamento das linhas de cuidado mesmo com alguns desafios, tendo que levantar dados de forma manual por não ter um software de gestão de linhas de cuidado integrado ao sistema MV, poucos pontos de atenção em todos níveis de atenção a rede do SUS. Tivemos êxito no gerenciamento das linhas de cuidado. </w:t>
      </w:r>
    </w:p>
    <w:p w14:paraId="0000023B">
      <w:pPr>
        <w:tabs>
          <w:tab w:val="left" w:pos="795"/>
        </w:tabs>
        <w:spacing w:before="160"/>
        <w:jc w:val="both"/>
        <w:rPr>
          <w:rFonts w:ascii="Arial" w:hAnsi="Arial" w:eastAsia="Arial" w:cs="Arial"/>
        </w:rPr>
      </w:pPr>
      <w:r>
        <w:rPr>
          <w:rFonts w:ascii="Arial" w:hAnsi="Arial" w:eastAsia="Arial" w:cs="Arial"/>
          <w:rtl w:val="0"/>
        </w:rPr>
        <w:t>Por meio de discussão de casos, avaliação global, telemonitoramento, garantindo o tratamento do paciente em tempo oportuno desde uma primeira consulta à sensibilização de pacientes para o aceite da inserção do paciente na fila de transplante renal e acolhendo e treinando familiares para lidar da melhor maneira possível com os pacientes em condições crônicas de saúde e alertando dos possíveis agravos..</w:t>
      </w:r>
    </w:p>
    <w:p w14:paraId="140D16BB">
      <w:pPr>
        <w:spacing w:after="0" w:line="360" w:lineRule="auto"/>
        <w:ind w:firstLine="709"/>
        <w:jc w:val="both"/>
        <w:rPr>
          <w:rFonts w:ascii="Arial" w:hAnsi="Arial" w:eastAsia="Arial" w:cs="Arial"/>
          <w:rtl w:val="0"/>
        </w:rPr>
      </w:pPr>
      <w:r>
        <w:rPr>
          <w:rFonts w:ascii="Arial" w:hAnsi="Arial" w:eastAsia="Arial" w:cs="Arial"/>
          <w:rtl w:val="0"/>
        </w:rPr>
        <w:t xml:space="preserve">        Por fim, é observado o engajamento e integração dos multiprofissionais com todos setores da policlínica, sempre em busca de colaborar da melhor forma possível para proporcionar um atendimento de excelência para a população.</w:t>
      </w:r>
    </w:p>
    <w:p w14:paraId="3903A838">
      <w:pPr>
        <w:spacing w:after="0" w:line="360" w:lineRule="auto"/>
        <w:ind w:firstLine="709"/>
        <w:jc w:val="both"/>
        <w:rPr>
          <w:rFonts w:ascii="Arial" w:hAnsi="Arial" w:eastAsia="Arial" w:cs="Arial"/>
          <w:rtl w:val="0"/>
        </w:rPr>
      </w:pPr>
    </w:p>
    <w:p w14:paraId="591943CB">
      <w:pPr>
        <w:pStyle w:val="3"/>
        <w:numPr>
          <w:ilvl w:val="0"/>
          <w:numId w:val="0"/>
        </w:numPr>
        <w:spacing w:before="240" w:after="240" w:line="360" w:lineRule="auto"/>
        <w:ind w:leftChars="150" w:right="-568" w:rightChars="0" w:firstLine="110" w:firstLineChars="50"/>
        <w:jc w:val="both"/>
        <w:rPr>
          <w:rFonts w:ascii="Arial" w:hAnsi="Arial" w:cs="Arial"/>
          <w:b/>
          <w:bCs/>
          <w:color w:val="000000" w:themeColor="text1"/>
          <w:sz w:val="22"/>
          <w:szCs w:val="22"/>
          <w14:textFill>
            <w14:solidFill>
              <w14:schemeClr w14:val="tx1"/>
            </w14:solidFill>
          </w14:textFill>
        </w:rPr>
      </w:pPr>
      <w:bookmarkStart w:id="9" w:name="_Toc158119973"/>
      <w:bookmarkStart w:id="10" w:name="_Toc192161426"/>
      <w:r>
        <w:rPr>
          <w:rFonts w:ascii="Arial" w:hAnsi="Arial" w:cs="Arial"/>
          <w:b/>
          <w:bCs/>
          <w:color w:val="000000" w:themeColor="text1"/>
          <w:sz w:val="22"/>
          <w:szCs w:val="22"/>
          <w14:textFill>
            <w14:solidFill>
              <w14:schemeClr w14:val="tx1"/>
            </w14:solidFill>
          </w14:textFill>
        </w:rPr>
        <w:t>Ouvidoria</w:t>
      </w:r>
      <w:bookmarkEnd w:id="9"/>
      <w:bookmarkEnd w:id="10"/>
      <w:r>
        <w:rPr>
          <w:rFonts w:ascii="Arial" w:hAnsi="Arial" w:cs="Arial"/>
          <w:b/>
          <w:bCs/>
          <w:color w:val="000000" w:themeColor="text1"/>
          <w:sz w:val="22"/>
          <w:szCs w:val="22"/>
          <w14:textFill>
            <w14:solidFill>
              <w14:schemeClr w14:val="tx1"/>
            </w14:solidFill>
          </w14:textFill>
        </w:rPr>
        <w:t xml:space="preserve"> </w:t>
      </w:r>
    </w:p>
    <w:p w14:paraId="6BB3C36F">
      <w:pPr>
        <w:pStyle w:val="70"/>
        <w:spacing w:line="360" w:lineRule="auto"/>
        <w:ind w:left="0" w:leftChars="0" w:right="57" w:firstLine="440" w:firstLineChars="200"/>
        <w:jc w:val="both"/>
        <w:rPr>
          <w:rFonts w:ascii="Arial" w:hAnsi="Arial" w:eastAsia="Segoe UI"/>
          <w:sz w:val="22"/>
          <w:szCs w:val="22"/>
        </w:rPr>
      </w:pPr>
      <w:r>
        <w:rPr>
          <w:rFonts w:ascii="Arial" w:hAnsi="Arial" w:eastAsia="Segoe UI"/>
          <w:sz w:val="22"/>
          <w:szCs w:val="22"/>
        </w:rPr>
        <w:t>A Ouvidoria da Policlínica Estadual da Região Sudoeste – Quirinópolis, tem atribuição de intermediar a relação usuários e a Gestão, desta forma, garantir que o direito dos cidadãos seja exercido e tratado adequadamente. Têm a missão de receber as manifestações encaminhadas pelos usuários da Policlínica e levá-las ao conhecimento de cada responsável pelos setores competentes, para as devidas providências.</w:t>
      </w:r>
    </w:p>
    <w:p w14:paraId="52C947D5">
      <w:pPr>
        <w:pStyle w:val="70"/>
        <w:spacing w:line="360" w:lineRule="auto"/>
        <w:ind w:left="0" w:leftChars="0" w:right="57" w:firstLine="440" w:firstLineChars="200"/>
        <w:jc w:val="both"/>
        <w:rPr>
          <w:rFonts w:ascii="Arial" w:hAnsi="Arial" w:eastAsia="Segoe UI"/>
          <w:sz w:val="22"/>
          <w:szCs w:val="22"/>
        </w:rPr>
      </w:pPr>
    </w:p>
    <w:p w14:paraId="6A5D6452">
      <w:pPr>
        <w:pStyle w:val="83"/>
        <w:spacing w:line="360" w:lineRule="auto"/>
        <w:ind w:left="0" w:leftChars="0" w:right="57" w:firstLine="440" w:firstLineChars="200"/>
        <w:jc w:val="both"/>
        <w:rPr>
          <w:rFonts w:ascii="Arial" w:hAnsi="Arial" w:cs="Arial"/>
          <w:sz w:val="22"/>
          <w:szCs w:val="22"/>
        </w:rPr>
      </w:pPr>
      <w:r>
        <w:rPr>
          <w:rFonts w:ascii="Arial" w:hAnsi="Arial" w:cs="Arial"/>
          <w:sz w:val="22"/>
          <w:szCs w:val="22"/>
        </w:rPr>
        <w:t xml:space="preserve">       A Ouvidoria, no âmbito de suas atribuições, ao receber as manifestações, devem dar tratamento e responder, em linguagem cidadã, as seguintes manifestações: sugestão, elogio, reclamação, solicitação, denuncia, pedidos de acesso à informação e simplifique.</w:t>
      </w:r>
    </w:p>
    <w:p w14:paraId="2835820A">
      <w:pPr>
        <w:pStyle w:val="83"/>
        <w:spacing w:line="360" w:lineRule="auto"/>
        <w:ind w:left="0" w:leftChars="0" w:right="57" w:firstLine="440" w:firstLineChars="200"/>
        <w:jc w:val="both"/>
        <w:rPr>
          <w:rFonts w:ascii="Arial" w:hAnsi="Arial" w:cs="Arial"/>
          <w:sz w:val="22"/>
          <w:szCs w:val="22"/>
        </w:rPr>
      </w:pPr>
    </w:p>
    <w:p w14:paraId="24026EE4">
      <w:pPr>
        <w:spacing w:after="0" w:line="360" w:lineRule="auto"/>
        <w:ind w:left="0" w:leftChars="0" w:right="57" w:firstLine="440" w:firstLineChars="200"/>
        <w:jc w:val="both"/>
        <w:rPr>
          <w:rFonts w:hint="default" w:ascii="Arial" w:hAnsi="Arial" w:cs="Arial"/>
          <w:lang w:val="pt-BR"/>
        </w:rPr>
      </w:pPr>
      <w:r>
        <w:rPr>
          <w:rFonts w:ascii="Arial" w:hAnsi="Arial" w:cs="Arial"/>
        </w:rPr>
        <w:t xml:space="preserve">      Por linguagem cidadã entende-se aquela que, além de simples, clara, concisa e objetiva, considera o contexto sociocultural do interessado, de forma a facilitar a comunicação e o mútuo entendimento</w:t>
      </w:r>
      <w:r>
        <w:rPr>
          <w:rFonts w:hint="default" w:ascii="Arial" w:hAnsi="Arial" w:cs="Arial"/>
          <w:lang w:val="pt-BR"/>
        </w:rPr>
        <w:t>.</w:t>
      </w:r>
    </w:p>
    <w:p w14:paraId="0F925337">
      <w:pPr>
        <w:spacing w:after="0" w:line="360" w:lineRule="auto"/>
        <w:ind w:left="0" w:leftChars="0" w:right="57" w:firstLine="440" w:firstLineChars="200"/>
        <w:jc w:val="both"/>
        <w:rPr>
          <w:rFonts w:hint="default" w:ascii="Arial" w:hAnsi="Arial" w:cs="Arial"/>
          <w:lang w:val="pt-BR"/>
        </w:rPr>
      </w:pPr>
    </w:p>
    <w:p w14:paraId="5AB5DF5A">
      <w:pPr>
        <w:pStyle w:val="70"/>
        <w:spacing w:line="360" w:lineRule="auto"/>
        <w:ind w:left="0" w:leftChars="0" w:firstLine="440" w:firstLineChars="200"/>
        <w:jc w:val="both"/>
        <w:rPr>
          <w:rFonts w:ascii="Arial" w:hAnsi="Arial" w:eastAsia="Segoe UI"/>
          <w:color w:val="000000"/>
          <w:sz w:val="22"/>
          <w:szCs w:val="22"/>
        </w:rPr>
      </w:pPr>
      <w:r>
        <w:rPr>
          <w:rFonts w:ascii="Arial" w:hAnsi="Arial"/>
          <w:sz w:val="22"/>
          <w:szCs w:val="22"/>
        </w:rPr>
        <w:t>Este relatório apresenta os dados estatísticos referente ao período de 01/0</w:t>
      </w:r>
      <w:r>
        <w:rPr>
          <w:rFonts w:hint="default" w:ascii="Arial" w:hAnsi="Arial"/>
          <w:sz w:val="22"/>
          <w:szCs w:val="22"/>
          <w:lang w:val="pt-BR"/>
        </w:rPr>
        <w:t>5</w:t>
      </w:r>
      <w:r>
        <w:rPr>
          <w:rFonts w:ascii="Arial" w:hAnsi="Arial"/>
          <w:sz w:val="22"/>
          <w:szCs w:val="22"/>
        </w:rPr>
        <w:t>/2025 a 3</w:t>
      </w:r>
      <w:r>
        <w:rPr>
          <w:rFonts w:hint="default" w:ascii="Arial" w:hAnsi="Arial"/>
          <w:sz w:val="22"/>
          <w:szCs w:val="22"/>
          <w:lang w:val="pt-BR"/>
        </w:rPr>
        <w:t>1</w:t>
      </w:r>
      <w:r>
        <w:rPr>
          <w:rFonts w:ascii="Arial" w:hAnsi="Arial"/>
          <w:sz w:val="22"/>
          <w:szCs w:val="22"/>
        </w:rPr>
        <w:t>/</w:t>
      </w:r>
      <w:r>
        <w:rPr>
          <w:rFonts w:hint="default" w:ascii="Arial" w:hAnsi="Arial"/>
          <w:sz w:val="22"/>
          <w:szCs w:val="22"/>
          <w:lang w:val="pt-BR"/>
        </w:rPr>
        <w:t>05</w:t>
      </w:r>
      <w:r>
        <w:rPr>
          <w:rFonts w:ascii="Arial" w:hAnsi="Arial"/>
          <w:sz w:val="22"/>
          <w:szCs w:val="22"/>
        </w:rPr>
        <w:t>/2025, os quais foram extraídos do Sistema Ouvidor S</w:t>
      </w:r>
      <w:r>
        <w:rPr>
          <w:rFonts w:hint="default" w:ascii="Arial" w:hAnsi="Arial"/>
          <w:sz w:val="22"/>
          <w:szCs w:val="22"/>
          <w:lang w:val="pt-BR"/>
        </w:rPr>
        <w:t>US.</w:t>
      </w:r>
      <w:r>
        <w:rPr>
          <w:rFonts w:ascii="Arial" w:hAnsi="Arial"/>
          <w:sz w:val="22"/>
          <w:szCs w:val="22"/>
        </w:rPr>
        <w:t xml:space="preserve"> </w:t>
      </w:r>
      <w:r>
        <w:rPr>
          <w:rFonts w:ascii="Arial" w:hAnsi="Arial" w:eastAsia="Segoe UI"/>
          <w:sz w:val="22"/>
          <w:szCs w:val="22"/>
        </w:rPr>
        <w:t xml:space="preserve">Foram registradas neste mês </w:t>
      </w:r>
      <w:r>
        <w:rPr>
          <w:rFonts w:hint="default" w:ascii="Arial" w:hAnsi="Arial" w:eastAsia="Segoe UI"/>
          <w:sz w:val="22"/>
          <w:szCs w:val="22"/>
          <w:lang w:val="pt-BR"/>
        </w:rPr>
        <w:t>28</w:t>
      </w:r>
      <w:r>
        <w:rPr>
          <w:rFonts w:ascii="Arial" w:hAnsi="Arial" w:eastAsia="Segoe UI"/>
          <w:sz w:val="22"/>
          <w:szCs w:val="22"/>
        </w:rPr>
        <w:t xml:space="preserve"> manifestações,</w:t>
      </w:r>
      <w:r>
        <w:rPr>
          <w:rFonts w:hint="default" w:ascii="Arial" w:hAnsi="Arial" w:eastAsia="Segoe UI"/>
          <w:sz w:val="22"/>
          <w:szCs w:val="22"/>
          <w:lang w:val="pt-BR"/>
        </w:rPr>
        <w:t xml:space="preserve"> </w:t>
      </w:r>
      <w:r>
        <w:rPr>
          <w:rFonts w:ascii="Arial" w:hAnsi="Arial" w:eastAsia="Segoe UI"/>
          <w:sz w:val="22"/>
          <w:szCs w:val="22"/>
        </w:rPr>
        <w:t xml:space="preserve">deste total </w:t>
      </w:r>
      <w:r>
        <w:rPr>
          <w:rFonts w:hint="default" w:ascii="Arial" w:hAnsi="Arial" w:eastAsia="Segoe UI"/>
          <w:sz w:val="22"/>
          <w:szCs w:val="22"/>
          <w:lang w:val="pt-BR"/>
        </w:rPr>
        <w:t>19</w:t>
      </w:r>
      <w:r>
        <w:rPr>
          <w:rFonts w:ascii="Arial" w:hAnsi="Arial" w:eastAsia="Segoe UI"/>
          <w:sz w:val="22"/>
          <w:szCs w:val="22"/>
        </w:rPr>
        <w:t xml:space="preserve"> foram elogios, 09 reclamações,</w:t>
      </w:r>
      <w:r>
        <w:rPr>
          <w:rFonts w:hint="default" w:ascii="Arial" w:hAnsi="Arial" w:eastAsia="Segoe UI"/>
          <w:sz w:val="22"/>
          <w:szCs w:val="22"/>
          <w:lang w:val="pt-BR"/>
        </w:rPr>
        <w:t xml:space="preserve"> 68% de elogios e 32% de reclamações</w:t>
      </w:r>
      <w:r>
        <w:rPr>
          <w:rFonts w:ascii="Arial" w:hAnsi="Arial" w:eastAsia="Segoe UI"/>
          <w:color w:val="000000"/>
          <w:sz w:val="22"/>
          <w:szCs w:val="22"/>
        </w:rPr>
        <w:t>.</w:t>
      </w:r>
    </w:p>
    <w:p w14:paraId="4C73C738">
      <w:pPr>
        <w:pStyle w:val="70"/>
        <w:spacing w:line="360" w:lineRule="auto"/>
        <w:ind w:left="0" w:leftChars="0" w:firstLine="440" w:firstLineChars="200"/>
        <w:jc w:val="both"/>
        <w:rPr>
          <w:rFonts w:ascii="Arial" w:hAnsi="Arial" w:eastAsia="Segoe UI"/>
          <w:color w:val="000000"/>
          <w:sz w:val="22"/>
          <w:szCs w:val="22"/>
        </w:rPr>
      </w:pPr>
    </w:p>
    <w:p w14:paraId="62EEC1D9">
      <w:pPr>
        <w:spacing w:after="0" w:line="360" w:lineRule="auto"/>
        <w:ind w:left="0" w:leftChars="0" w:right="57" w:firstLine="440" w:firstLineChars="200"/>
        <w:jc w:val="both"/>
        <w:rPr>
          <w:rFonts w:ascii="Arial" w:hAnsi="Arial" w:eastAsia="Segoe UI" w:cs="Arial"/>
          <w:color w:val="000000"/>
          <w:sz w:val="22"/>
          <w:szCs w:val="22"/>
        </w:rPr>
      </w:pPr>
      <w:r>
        <w:rPr>
          <w:rFonts w:ascii="Arial" w:hAnsi="Arial" w:eastAsia="Segoe UI" w:cs="Arial"/>
          <w:color w:val="000000"/>
          <w:sz w:val="22"/>
          <w:szCs w:val="22"/>
        </w:rPr>
        <w:t xml:space="preserve">No geral a Policlínica Estadual da Região Sudeste Quirinópolis está </w:t>
      </w:r>
      <w:r>
        <w:rPr>
          <w:rFonts w:ascii="Arial" w:hAnsi="Arial" w:cs="Arial"/>
          <w:color w:val="000000"/>
          <w:sz w:val="22"/>
          <w:szCs w:val="22"/>
        </w:rPr>
        <w:t>com ótima avaliação do atendimento e limpeza, esse</w:t>
      </w:r>
      <w:r>
        <w:rPr>
          <w:rFonts w:ascii="Arial" w:hAnsi="Arial" w:eastAsia="Segoe UI" w:cs="Arial"/>
          <w:color w:val="000000"/>
          <w:sz w:val="22"/>
          <w:szCs w:val="22"/>
        </w:rPr>
        <w:t xml:space="preserve"> é o resultado que buscamos e queremos sempre, ou seja, prestar o melhor e mais humanizado serviço da região aos nossos usuários, visando sempre o acolhimento humanizado, a eficiência e qualidade. </w:t>
      </w:r>
    </w:p>
    <w:p w14:paraId="0B226C82">
      <w:pPr>
        <w:spacing w:after="0" w:line="360" w:lineRule="auto"/>
        <w:ind w:left="0" w:leftChars="0" w:right="57" w:firstLine="440" w:firstLineChars="200"/>
        <w:jc w:val="both"/>
        <w:rPr>
          <w:rFonts w:ascii="Arial" w:hAnsi="Arial" w:eastAsia="Segoe UI" w:cs="Arial"/>
          <w:color w:val="000000"/>
          <w:sz w:val="22"/>
          <w:szCs w:val="22"/>
        </w:rPr>
      </w:pPr>
    </w:p>
    <w:p w14:paraId="4DD52A4A">
      <w:pPr>
        <w:spacing w:after="0" w:line="360" w:lineRule="auto"/>
        <w:ind w:left="0" w:leftChars="0" w:firstLine="440" w:firstLineChars="200"/>
        <w:jc w:val="both"/>
        <w:rPr>
          <w:rFonts w:ascii="Arial" w:hAnsi="Arial" w:eastAsia="Segoe UI" w:cs="Arial"/>
        </w:rPr>
      </w:pPr>
      <w:r>
        <w:rPr>
          <w:rFonts w:ascii="Arial" w:hAnsi="Arial" w:eastAsia="Segoe UI" w:cs="Arial"/>
        </w:rPr>
        <w:t xml:space="preserve">Todas as manifestações de </w:t>
      </w:r>
      <w:r>
        <w:rPr>
          <w:rFonts w:ascii="Arial" w:hAnsi="Arial" w:cs="Arial"/>
          <w:bCs/>
        </w:rPr>
        <w:t>elogio, informação,</w:t>
      </w:r>
      <w:r>
        <w:rPr>
          <w:rFonts w:ascii="Arial" w:hAnsi="Arial" w:cs="Arial"/>
          <w:bCs/>
          <w:spacing w:val="1"/>
        </w:rPr>
        <w:t xml:space="preserve"> </w:t>
      </w:r>
      <w:r>
        <w:rPr>
          <w:rFonts w:ascii="Arial" w:hAnsi="Arial" w:cs="Arial"/>
          <w:bCs/>
        </w:rPr>
        <w:t>sugestão,</w:t>
      </w:r>
      <w:r>
        <w:rPr>
          <w:rFonts w:ascii="Arial" w:hAnsi="Arial" w:cs="Arial"/>
          <w:bCs/>
          <w:spacing w:val="1"/>
        </w:rPr>
        <w:t xml:space="preserve"> </w:t>
      </w:r>
      <w:r>
        <w:rPr>
          <w:rFonts w:ascii="Arial" w:hAnsi="Arial" w:cs="Arial"/>
          <w:bCs/>
        </w:rPr>
        <w:t>solicitação,</w:t>
      </w:r>
      <w:r>
        <w:rPr>
          <w:rFonts w:ascii="Arial" w:hAnsi="Arial" w:cs="Arial"/>
          <w:bCs/>
          <w:spacing w:val="1"/>
        </w:rPr>
        <w:t xml:space="preserve"> </w:t>
      </w:r>
      <w:r>
        <w:rPr>
          <w:rFonts w:ascii="Arial" w:hAnsi="Arial" w:cs="Arial"/>
          <w:bCs/>
        </w:rPr>
        <w:t>reclamação</w:t>
      </w:r>
      <w:r>
        <w:rPr>
          <w:rFonts w:ascii="Arial" w:hAnsi="Arial" w:cs="Arial"/>
          <w:bCs/>
          <w:spacing w:val="1"/>
        </w:rPr>
        <w:t xml:space="preserve"> </w:t>
      </w:r>
      <w:r>
        <w:rPr>
          <w:rFonts w:ascii="Arial" w:hAnsi="Arial" w:cs="Arial"/>
          <w:bCs/>
        </w:rPr>
        <w:t>e</w:t>
      </w:r>
      <w:r>
        <w:rPr>
          <w:rFonts w:ascii="Arial" w:hAnsi="Arial" w:cs="Arial"/>
          <w:bCs/>
          <w:spacing w:val="1"/>
        </w:rPr>
        <w:t xml:space="preserve"> </w:t>
      </w:r>
      <w:r>
        <w:rPr>
          <w:rFonts w:ascii="Arial" w:hAnsi="Arial" w:cs="Arial"/>
          <w:bCs/>
        </w:rPr>
        <w:t>denúncia</w:t>
      </w:r>
      <w:r>
        <w:rPr>
          <w:rFonts w:ascii="Arial" w:hAnsi="Arial" w:eastAsia="Segoe UI" w:cs="Arial"/>
          <w:bCs/>
        </w:rPr>
        <w:t xml:space="preserve">, </w:t>
      </w:r>
      <w:r>
        <w:rPr>
          <w:rFonts w:ascii="Arial" w:hAnsi="Arial" w:eastAsia="Segoe UI" w:cs="Arial"/>
        </w:rPr>
        <w:t>são registradas no Sistema Ouvidor S</w:t>
      </w:r>
      <w:r>
        <w:rPr>
          <w:rFonts w:hint="default" w:ascii="Arial" w:hAnsi="Arial" w:eastAsia="Segoe UI" w:cs="Arial"/>
          <w:lang w:val="pt-BR"/>
        </w:rPr>
        <w:t>US</w:t>
      </w:r>
      <w:r>
        <w:rPr>
          <w:rFonts w:ascii="Arial" w:hAnsi="Arial" w:eastAsia="Segoe UI" w:cs="Arial"/>
        </w:rPr>
        <w:t>. Após o devido acolhimento e escuta ao usuário, as manifestações são registradas, analisadas, classificadas, tipificadas e encaminhadas para o setor responsável, que acompanha o desenrolar até o retorno ao cidadão e a finalização da manifestação.</w:t>
      </w:r>
    </w:p>
    <w:p w14:paraId="3382174E">
      <w:pPr>
        <w:spacing w:after="0" w:line="360" w:lineRule="auto"/>
        <w:ind w:left="0" w:leftChars="0" w:firstLine="440" w:firstLineChars="200"/>
        <w:jc w:val="both"/>
        <w:rPr>
          <w:rFonts w:ascii="Arial" w:hAnsi="Arial" w:eastAsia="Segoe UI" w:cs="Arial"/>
        </w:rPr>
      </w:pPr>
    </w:p>
    <w:p w14:paraId="71B92DE1">
      <w:pPr>
        <w:pStyle w:val="70"/>
        <w:spacing w:line="360" w:lineRule="auto"/>
        <w:ind w:left="0" w:leftChars="0" w:firstLine="440" w:firstLineChars="200"/>
        <w:jc w:val="both"/>
        <w:rPr>
          <w:rFonts w:ascii="Arial" w:hAnsi="Arial" w:eastAsia="Segoe UI"/>
          <w:sz w:val="22"/>
          <w:szCs w:val="22"/>
        </w:rPr>
      </w:pPr>
      <w:r>
        <w:rPr>
          <w:rFonts w:ascii="Arial" w:hAnsi="Arial" w:eastAsia="Segoe UI"/>
          <w:sz w:val="22"/>
          <w:szCs w:val="22"/>
        </w:rPr>
        <w:t xml:space="preserve">Assim, conclui-se que Ouvidoria da Policlínica da Região Sudoeste – Quirinópolis está ativa com responsabilidade diante das solicitações de melhoria vinda dos pacientes, reclamações e sugestões que visem a qualidade do serviço prestado na unidade. </w:t>
      </w:r>
    </w:p>
    <w:p w14:paraId="76B830E2">
      <w:pPr>
        <w:pStyle w:val="70"/>
        <w:spacing w:line="360" w:lineRule="auto"/>
        <w:ind w:left="0" w:leftChars="0" w:firstLine="440" w:firstLineChars="200"/>
        <w:jc w:val="both"/>
        <w:rPr>
          <w:rFonts w:ascii="Arial" w:hAnsi="Arial" w:eastAsia="Segoe UI"/>
          <w:sz w:val="22"/>
          <w:szCs w:val="22"/>
        </w:rPr>
      </w:pPr>
    </w:p>
    <w:p w14:paraId="4435F84B">
      <w:pPr>
        <w:pStyle w:val="70"/>
        <w:spacing w:line="360" w:lineRule="auto"/>
        <w:ind w:left="0" w:leftChars="0" w:firstLine="440" w:firstLineChars="200"/>
        <w:jc w:val="both"/>
        <w:rPr>
          <w:rFonts w:ascii="Arial" w:hAnsi="Arial" w:eastAsia="Segoe UI"/>
          <w:sz w:val="22"/>
          <w:szCs w:val="22"/>
        </w:rPr>
      </w:pPr>
      <w:r>
        <w:rPr>
          <w:rFonts w:ascii="Arial" w:hAnsi="Arial" w:eastAsia="Segoe UI"/>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5FEE6DCD">
      <w:pPr>
        <w:pStyle w:val="70"/>
        <w:spacing w:line="360" w:lineRule="auto"/>
        <w:ind w:left="-851" w:firstLine="709"/>
        <w:jc w:val="both"/>
        <w:rPr>
          <w:rFonts w:ascii="Arial" w:hAnsi="Arial" w:eastAsia="Segoe UI"/>
          <w:sz w:val="22"/>
          <w:szCs w:val="22"/>
        </w:rPr>
      </w:pPr>
    </w:p>
    <w:p w14:paraId="4FB53C0D">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11" w:name="_Toc158119974"/>
      <w:bookmarkStart w:id="12" w:name="_Toc192161427"/>
      <w:r>
        <w:rPr>
          <w:rFonts w:ascii="Arial" w:hAnsi="Arial" w:cs="Arial"/>
          <w:b/>
          <w:bCs/>
          <w:color w:val="000000" w:themeColor="text1"/>
          <w:sz w:val="22"/>
          <w:szCs w:val="22"/>
          <w14:textFill>
            <w14:solidFill>
              <w14:schemeClr w14:val="tx1"/>
            </w14:solidFill>
          </w14:textFill>
        </w:rPr>
        <w:t>Serviço de controle de infecções</w:t>
      </w:r>
      <w:r>
        <w:rPr>
          <w:rFonts w:ascii="Arial" w:hAnsi="Arial" w:cs="Arial"/>
          <w:b/>
          <w:bCs/>
          <w:color w:val="000000" w:themeColor="text1"/>
          <w:sz w:val="22"/>
          <w:szCs w:val="22"/>
          <w:shd w:val="clear" w:color="auto" w:fill="FFFFFF"/>
          <w14:textFill>
            <w14:solidFill>
              <w14:schemeClr w14:val="tx1"/>
            </w14:solidFill>
          </w14:textFill>
        </w:rPr>
        <w:t xml:space="preserve"> relacionada a assistência à saúde (</w:t>
      </w:r>
      <w:r>
        <w:rPr>
          <w:rFonts w:ascii="Arial" w:hAnsi="Arial" w:cs="Arial"/>
          <w:b/>
          <w:bCs/>
          <w:color w:val="000000" w:themeColor="text1"/>
          <w:sz w:val="22"/>
          <w:szCs w:val="22"/>
          <w14:textFill>
            <w14:solidFill>
              <w14:schemeClr w14:val="tx1"/>
            </w14:solidFill>
          </w14:textFill>
        </w:rPr>
        <w:t>SCIRAS)</w:t>
      </w:r>
      <w:bookmarkEnd w:id="11"/>
      <w:bookmarkEnd w:id="12"/>
      <w:r>
        <w:rPr>
          <w:rFonts w:ascii="Arial" w:hAnsi="Arial" w:cs="Arial"/>
          <w:b/>
          <w:bCs/>
          <w:color w:val="000000" w:themeColor="text1"/>
          <w:sz w:val="22"/>
          <w:szCs w:val="22"/>
          <w14:textFill>
            <w14:solidFill>
              <w14:schemeClr w14:val="tx1"/>
            </w14:solidFill>
          </w14:textFill>
        </w:rPr>
        <w:t xml:space="preserve"> </w:t>
      </w:r>
    </w:p>
    <w:p w14:paraId="6841E3D4">
      <w:pPr>
        <w:pStyle w:val="4"/>
      </w:pPr>
    </w:p>
    <w:p w14:paraId="1EF5F893">
      <w:pPr>
        <w:pStyle w:val="30"/>
        <w:spacing w:after="0" w:line="360" w:lineRule="auto"/>
        <w:ind w:left="-851" w:firstLine="709"/>
        <w:jc w:val="both"/>
        <w:rPr>
          <w:rFonts w:ascii="Arial" w:hAnsi="Arial" w:cs="Arial"/>
        </w:rPr>
      </w:pPr>
      <w:r>
        <w:rPr>
          <w:rFonts w:ascii="Arial" w:hAnsi="Arial" w:cs="Arial"/>
        </w:rPr>
        <w:t xml:space="preserve">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 </w:t>
      </w:r>
    </w:p>
    <w:p w14:paraId="611846CD">
      <w:pPr>
        <w:pStyle w:val="30"/>
        <w:spacing w:after="0" w:line="360" w:lineRule="auto"/>
        <w:ind w:left="-851" w:firstLine="709"/>
        <w:jc w:val="both"/>
        <w:rPr>
          <w:rFonts w:ascii="Arial" w:hAnsi="Arial" w:cs="Arial"/>
        </w:rPr>
      </w:pPr>
    </w:p>
    <w:p w14:paraId="16EBA084">
      <w:pPr>
        <w:spacing w:after="0" w:line="360" w:lineRule="auto"/>
        <w:ind w:left="-851" w:firstLine="709"/>
        <w:jc w:val="both"/>
        <w:rPr>
          <w:rFonts w:ascii="Arial" w:hAnsi="Arial" w:cs="Arial"/>
        </w:rPr>
      </w:pPr>
      <w:r>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p>
    <w:p w14:paraId="24F50FE0">
      <w:pPr>
        <w:spacing w:after="0" w:line="360" w:lineRule="auto"/>
        <w:ind w:left="-851" w:firstLine="709"/>
        <w:jc w:val="both"/>
        <w:rPr>
          <w:rFonts w:ascii="Arial" w:hAnsi="Arial" w:cs="Arial"/>
        </w:rPr>
      </w:pPr>
    </w:p>
    <w:p w14:paraId="03117348">
      <w:pPr>
        <w:spacing w:after="0" w:line="360" w:lineRule="auto"/>
        <w:ind w:left="-851" w:firstLine="851"/>
        <w:jc w:val="both"/>
        <w:rPr>
          <w:rFonts w:ascii="Arial" w:hAnsi="Arial" w:cs="Arial"/>
        </w:rPr>
      </w:pPr>
      <w:r>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2FA1A30D">
      <w:pPr>
        <w:spacing w:after="0" w:line="360" w:lineRule="auto"/>
        <w:ind w:left="-851" w:firstLine="851"/>
        <w:jc w:val="both"/>
        <w:rPr>
          <w:rFonts w:ascii="Arial" w:hAnsi="Arial" w:cs="Arial"/>
        </w:rPr>
      </w:pPr>
    </w:p>
    <w:p w14:paraId="644542F2">
      <w:pPr>
        <w:spacing w:after="0" w:line="360" w:lineRule="auto"/>
        <w:ind w:left="-851" w:firstLine="851"/>
        <w:jc w:val="both"/>
        <w:rPr>
          <w:rFonts w:ascii="Arial" w:hAnsi="Arial" w:cs="Arial"/>
        </w:rPr>
      </w:pPr>
      <w:r>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50262697">
      <w:pPr>
        <w:pStyle w:val="5"/>
        <w:numPr>
          <w:ilvl w:val="0"/>
          <w:numId w:val="0"/>
        </w:numPr>
        <w:spacing w:before="240" w:after="240" w:line="360" w:lineRule="auto"/>
        <w:ind w:left="708" w:right="-568"/>
        <w:jc w:val="both"/>
        <w:rPr>
          <w:rFonts w:ascii="Arial" w:hAnsi="Arial" w:cs="Arial"/>
          <w:color w:val="000000" w:themeColor="text1"/>
          <w:sz w:val="22"/>
          <w:szCs w:val="22"/>
          <w14:textFill>
            <w14:solidFill>
              <w14:schemeClr w14:val="tx1"/>
            </w14:solidFill>
          </w14:textFill>
        </w:rPr>
      </w:pPr>
      <w:bookmarkStart w:id="13" w:name="_Toc192161428"/>
      <w:r>
        <w:rPr>
          <w:rFonts w:ascii="Arial" w:hAnsi="Arial" w:cs="Arial"/>
          <w:color w:val="000000" w:themeColor="text1"/>
          <w:sz w:val="22"/>
          <w:szCs w:val="22"/>
          <w14:textFill>
            <w14:solidFill>
              <w14:schemeClr w14:val="tx1"/>
            </w14:solidFill>
          </w14:textFill>
        </w:rPr>
        <w:t>Ações Realizadas:</w:t>
      </w:r>
      <w:bookmarkEnd w:id="13"/>
    </w:p>
    <w:p w14:paraId="1365194E">
      <w:pPr>
        <w:pStyle w:val="30"/>
        <w:numPr>
          <w:ilvl w:val="0"/>
          <w:numId w:val="8"/>
        </w:numPr>
        <w:spacing w:after="0" w:line="360" w:lineRule="auto"/>
        <w:rPr>
          <w:rFonts w:ascii="Arial" w:hAnsi="Arial" w:cs="Arial"/>
        </w:rPr>
      </w:pPr>
      <w:r>
        <w:rPr>
          <w:rFonts w:ascii="Arial" w:hAnsi="Arial" w:cs="Arial"/>
        </w:rPr>
        <w:t xml:space="preserve">Durante o mês algumas atividades foram desenvolvidas pelo SCIRAS em conjunto com a comissão. </w:t>
      </w:r>
    </w:p>
    <w:p w14:paraId="39404A01">
      <w:pPr>
        <w:pStyle w:val="30"/>
        <w:numPr>
          <w:ilvl w:val="0"/>
          <w:numId w:val="8"/>
        </w:numPr>
        <w:spacing w:after="0" w:line="360" w:lineRule="auto"/>
        <w:rPr>
          <w:rFonts w:ascii="Arial" w:hAnsi="Arial" w:cs="Arial"/>
        </w:rPr>
      </w:pPr>
      <w:r>
        <w:rPr>
          <w:rFonts w:ascii="Arial" w:hAnsi="Arial" w:cs="Arial"/>
        </w:rPr>
        <w:t xml:space="preserve">Busca ativa dos pacientes em Hemodiálise, análise e contabilização de indicadores pertinentes ao setor SCIRAS. </w:t>
      </w:r>
    </w:p>
    <w:p w14:paraId="48C60AA2">
      <w:pPr>
        <w:pStyle w:val="30"/>
        <w:numPr>
          <w:ilvl w:val="0"/>
          <w:numId w:val="8"/>
        </w:numPr>
        <w:spacing w:after="0" w:line="360" w:lineRule="auto"/>
        <w:rPr>
          <w:rFonts w:ascii="Arial" w:hAnsi="Arial" w:cs="Arial"/>
        </w:rPr>
      </w:pPr>
      <w:r>
        <w:rPr>
          <w:rFonts w:ascii="Arial" w:hAnsi="Arial" w:cs="Arial"/>
        </w:rPr>
        <w:t xml:space="preserve"> Notificação de indicadores epidemiológicos no sistema da SUVISA e sistema interno de notificações de eventos adversos da unidade Policlínica Quirinópolis; </w:t>
      </w:r>
    </w:p>
    <w:p w14:paraId="1A821DD2">
      <w:pPr>
        <w:pStyle w:val="30"/>
        <w:numPr>
          <w:ilvl w:val="0"/>
          <w:numId w:val="8"/>
        </w:numPr>
        <w:spacing w:after="0" w:line="360" w:lineRule="auto"/>
        <w:rPr>
          <w:rFonts w:ascii="Arial" w:hAnsi="Arial" w:cs="Arial"/>
        </w:rPr>
      </w:pPr>
      <w:r>
        <w:rPr>
          <w:rFonts w:ascii="Arial" w:hAnsi="Arial" w:cs="Arial"/>
        </w:rPr>
        <w:t xml:space="preserve"> Envio de relatório mensal da comissão CCIRAS e PGRSS; </w:t>
      </w:r>
    </w:p>
    <w:p w14:paraId="23E23491">
      <w:pPr>
        <w:pStyle w:val="30"/>
        <w:numPr>
          <w:ilvl w:val="0"/>
          <w:numId w:val="8"/>
        </w:numPr>
        <w:spacing w:after="0" w:line="360" w:lineRule="auto"/>
        <w:rPr>
          <w:rFonts w:ascii="Arial" w:hAnsi="Arial" w:cs="Arial"/>
        </w:rPr>
      </w:pPr>
      <w:r>
        <w:rPr>
          <w:rFonts w:ascii="Arial" w:hAnsi="Arial" w:cs="Arial"/>
        </w:rPr>
        <w:t xml:space="preserve"> Envio de relatório quinzenal e mensal de atividades do setor;</w:t>
      </w:r>
    </w:p>
    <w:p w14:paraId="063A3AF9">
      <w:pPr>
        <w:pStyle w:val="30"/>
        <w:numPr>
          <w:ilvl w:val="0"/>
          <w:numId w:val="8"/>
        </w:numPr>
        <w:spacing w:after="0" w:line="360" w:lineRule="auto"/>
        <w:rPr>
          <w:rFonts w:ascii="Arial" w:hAnsi="Arial" w:cs="Arial"/>
        </w:rPr>
      </w:pPr>
      <w:r>
        <w:rPr>
          <w:rFonts w:ascii="Arial" w:hAnsi="Arial" w:cs="Arial"/>
        </w:rPr>
        <w:t xml:space="preserve"> Vistoria nos Setores da Unidade (Rotina); </w:t>
      </w:r>
    </w:p>
    <w:p w14:paraId="13CD4AC6">
      <w:pPr>
        <w:pStyle w:val="30"/>
        <w:numPr>
          <w:ilvl w:val="0"/>
          <w:numId w:val="8"/>
        </w:numPr>
        <w:spacing w:after="0" w:line="360" w:lineRule="auto"/>
        <w:rPr>
          <w:rFonts w:ascii="Arial" w:hAnsi="Arial" w:cs="Arial"/>
        </w:rPr>
      </w:pPr>
      <w:r>
        <w:rPr>
          <w:rFonts w:ascii="Arial" w:hAnsi="Arial" w:cs="Arial"/>
        </w:rPr>
        <w:t xml:space="preserve"> Fiscalização no Controle de Pragas; </w:t>
      </w:r>
    </w:p>
    <w:p w14:paraId="18E95012">
      <w:pPr>
        <w:pStyle w:val="30"/>
        <w:numPr>
          <w:ilvl w:val="0"/>
          <w:numId w:val="8"/>
        </w:numPr>
        <w:spacing w:after="0" w:line="360" w:lineRule="auto"/>
        <w:rPr>
          <w:rFonts w:ascii="Arial" w:hAnsi="Arial" w:cs="Arial"/>
        </w:rPr>
      </w:pPr>
      <w:r>
        <w:rPr>
          <w:rFonts w:ascii="Arial" w:hAnsi="Arial" w:cs="Arial"/>
        </w:rPr>
        <w:t xml:space="preserve">Participação em Reuniões das Comissões; </w:t>
      </w:r>
    </w:p>
    <w:p w14:paraId="3A8A4C49">
      <w:pPr>
        <w:pStyle w:val="30"/>
        <w:numPr>
          <w:ilvl w:val="0"/>
          <w:numId w:val="8"/>
        </w:numPr>
        <w:spacing w:after="0" w:line="360" w:lineRule="auto"/>
        <w:rPr>
          <w:rFonts w:ascii="Arial" w:hAnsi="Arial" w:cs="Arial"/>
        </w:rPr>
      </w:pPr>
      <w:r>
        <w:rPr>
          <w:rFonts w:ascii="Arial" w:hAnsi="Arial" w:cs="Arial"/>
        </w:rPr>
        <w:t xml:space="preserve"> Supervisão no Setor externo de armazenamento dos Resíduos e na coleta para tratamento final pela empresa Bio Resíduos; </w:t>
      </w:r>
    </w:p>
    <w:p w14:paraId="351D6ED8">
      <w:pPr>
        <w:pStyle w:val="30"/>
        <w:numPr>
          <w:ilvl w:val="0"/>
          <w:numId w:val="8"/>
        </w:numPr>
        <w:spacing w:after="0" w:line="360" w:lineRule="auto"/>
        <w:rPr>
          <w:rFonts w:ascii="Arial" w:hAnsi="Arial" w:cs="Arial"/>
        </w:rPr>
      </w:pPr>
      <w:r>
        <w:rPr>
          <w:rFonts w:ascii="Arial" w:hAnsi="Arial" w:cs="Arial"/>
        </w:rPr>
        <w:t xml:space="preserve">Supervisão a coleta da Água para análise da qualidade pela empresa da CONAGUA; </w:t>
      </w:r>
    </w:p>
    <w:p w14:paraId="3D7A72A5">
      <w:pPr>
        <w:pStyle w:val="30"/>
        <w:numPr>
          <w:ilvl w:val="0"/>
          <w:numId w:val="8"/>
        </w:numPr>
        <w:spacing w:after="0" w:line="360" w:lineRule="auto"/>
        <w:rPr>
          <w:rFonts w:ascii="Arial" w:hAnsi="Arial" w:cs="Arial"/>
        </w:rPr>
      </w:pPr>
      <w:r>
        <w:rPr>
          <w:rFonts w:ascii="Arial" w:hAnsi="Arial" w:cs="Arial"/>
        </w:rPr>
        <w:t>Reunião com a equipe de Limpeza, para alinhar o fluxo da limpeza Assistencial;</w:t>
      </w:r>
    </w:p>
    <w:p w14:paraId="4187753A">
      <w:pPr>
        <w:pStyle w:val="30"/>
        <w:numPr>
          <w:ilvl w:val="0"/>
          <w:numId w:val="8"/>
        </w:numPr>
        <w:spacing w:after="0" w:line="360" w:lineRule="auto"/>
        <w:rPr>
          <w:rFonts w:ascii="Arial" w:hAnsi="Arial" w:cs="Arial"/>
        </w:rPr>
      </w:pPr>
      <w:r>
        <w:rPr>
          <w:rFonts w:ascii="Arial" w:hAnsi="Arial" w:cs="Arial"/>
        </w:rPr>
        <w:t xml:space="preserve">Fiscalização na Limpeza Terminal; </w:t>
      </w:r>
      <w:r>
        <w:rPr>
          <w:rFonts w:ascii="Arial" w:hAnsi="Arial" w:cs="Arial"/>
        </w:rPr>
        <w:sym w:font="Symbol" w:char="F0FC"/>
      </w:r>
      <w:r>
        <w:rPr>
          <w:rFonts w:ascii="Arial" w:hAnsi="Arial" w:cs="Arial"/>
        </w:rPr>
        <w:t xml:space="preserve"> Palestra sobre Saúde Mental; </w:t>
      </w:r>
    </w:p>
    <w:p w14:paraId="070E7BE9">
      <w:pPr>
        <w:pStyle w:val="30"/>
        <w:numPr>
          <w:ilvl w:val="0"/>
          <w:numId w:val="8"/>
        </w:numPr>
        <w:spacing w:after="0" w:line="360" w:lineRule="auto"/>
        <w:rPr>
          <w:rFonts w:ascii="Arial" w:hAnsi="Arial" w:cs="Arial"/>
        </w:rPr>
      </w:pPr>
      <w:r>
        <w:rPr>
          <w:rFonts w:ascii="Arial" w:hAnsi="Arial" w:cs="Arial"/>
        </w:rPr>
        <w:t xml:space="preserve"> Atualização do PGRSS; </w:t>
      </w:r>
    </w:p>
    <w:p w14:paraId="7B003FBF">
      <w:pPr>
        <w:pStyle w:val="30"/>
        <w:numPr>
          <w:ilvl w:val="0"/>
          <w:numId w:val="8"/>
        </w:numPr>
        <w:spacing w:after="0" w:line="360" w:lineRule="auto"/>
        <w:rPr>
          <w:rFonts w:ascii="Arial" w:hAnsi="Arial" w:cs="Arial"/>
        </w:rPr>
      </w:pPr>
      <w:r>
        <w:rPr>
          <w:rFonts w:ascii="Arial" w:hAnsi="Arial" w:cs="Arial"/>
        </w:rPr>
        <w:t xml:space="preserve">Atualização de Protocolo do Núcleo de Segurança do Paciente; </w:t>
      </w:r>
    </w:p>
    <w:p w14:paraId="68C1B5E9">
      <w:pPr>
        <w:pStyle w:val="30"/>
        <w:numPr>
          <w:ilvl w:val="0"/>
          <w:numId w:val="8"/>
        </w:numPr>
        <w:spacing w:after="0" w:line="360" w:lineRule="auto"/>
        <w:rPr>
          <w:rFonts w:ascii="Arial" w:hAnsi="Arial" w:cs="Arial"/>
        </w:rPr>
      </w:pPr>
      <w:r>
        <w:rPr>
          <w:rFonts w:ascii="Arial" w:hAnsi="Arial" w:cs="Arial"/>
        </w:rPr>
        <w:t>Planisa;</w:t>
      </w:r>
    </w:p>
    <w:p w14:paraId="408CFB97">
      <w:pPr>
        <w:pStyle w:val="30"/>
        <w:numPr>
          <w:ilvl w:val="0"/>
          <w:numId w:val="8"/>
        </w:numPr>
        <w:spacing w:after="0" w:line="360" w:lineRule="auto"/>
        <w:rPr>
          <w:rFonts w:ascii="Arial" w:hAnsi="Arial" w:cs="Arial"/>
        </w:rPr>
      </w:pPr>
      <w:r>
        <w:rPr>
          <w:rFonts w:ascii="Arial" w:hAnsi="Arial" w:cs="Arial"/>
        </w:rPr>
        <w:t>Integração para todos os colaboradores e novos colaboradores;</w:t>
      </w:r>
    </w:p>
    <w:p w14:paraId="4ECA8C59">
      <w:pPr>
        <w:pStyle w:val="30"/>
        <w:numPr>
          <w:ilvl w:val="0"/>
          <w:numId w:val="8"/>
        </w:numPr>
        <w:spacing w:after="0" w:line="360" w:lineRule="auto"/>
      </w:pPr>
      <w:r>
        <w:rPr>
          <w:rFonts w:ascii="Arial" w:hAnsi="Arial" w:cs="Arial"/>
        </w:rPr>
        <w:t>Atesto das Empresas Con</w:t>
      </w:r>
      <w:r>
        <w:rPr>
          <w:rFonts w:hint="default" w:ascii="Arial" w:hAnsi="Arial" w:cs="Arial"/>
          <w:lang w:val="pt-BR"/>
        </w:rPr>
        <w:t>á</w:t>
      </w:r>
      <w:r>
        <w:rPr>
          <w:rFonts w:ascii="Arial" w:hAnsi="Arial" w:cs="Arial"/>
        </w:rPr>
        <w:t>gua, Bio Resíduos e Mutservice</w:t>
      </w:r>
      <w:r>
        <w:t xml:space="preserve">. </w:t>
      </w:r>
    </w:p>
    <w:p w14:paraId="53BD7A9C">
      <w:pPr>
        <w:pStyle w:val="30"/>
        <w:ind w:left="763"/>
      </w:pPr>
    </w:p>
    <w:p w14:paraId="7C9BB64D">
      <w:pPr>
        <w:pStyle w:val="30"/>
        <w:spacing w:after="0" w:line="360" w:lineRule="auto"/>
        <w:ind w:left="0" w:firstLine="709"/>
        <w:contextualSpacing w:val="0"/>
        <w:jc w:val="both"/>
        <w:rPr>
          <w:rFonts w:ascii="Arial" w:hAnsi="Arial" w:cs="Arial"/>
        </w:rPr>
      </w:pPr>
      <w:r>
        <w:rPr>
          <w:rFonts w:ascii="Arial" w:hAnsi="Arial" w:cs="Arial"/>
        </w:rPr>
        <w:t>Em geral, foi observado o compromisso da equipe e os ajustes necessários, esperamos continuar aprimorando os serviços prestados e alcançar resultados ainda mais positivos</w:t>
      </w:r>
      <w:r>
        <w:rPr>
          <w:rFonts w:hint="default" w:ascii="Arial" w:hAnsi="Arial" w:cs="Arial"/>
          <w:lang w:val="pt-BR"/>
        </w:rPr>
        <w:t>, a</w:t>
      </w:r>
      <w:r>
        <w:rPr>
          <w:rFonts w:ascii="Arial" w:hAnsi="Arial" w:cs="Arial"/>
        </w:rPr>
        <w:t xml:space="preserve"> principal papel das comissões em saúde é a melhoria contínua dos processos internos </w:t>
      </w:r>
      <w:r>
        <w:rPr>
          <w:rFonts w:hint="default" w:ascii="Arial" w:hAnsi="Arial" w:cs="Arial"/>
          <w:lang w:val="pt-BR"/>
        </w:rPr>
        <w:t>e</w:t>
      </w:r>
      <w:r>
        <w:rPr>
          <w:rFonts w:ascii="Arial" w:hAnsi="Arial" w:cs="Arial"/>
        </w:rPr>
        <w:t xml:space="preserve"> para isso, elas são as mais variadas possíveis, visando atender as </w:t>
      </w:r>
      <w:r>
        <w:rPr>
          <w:rFonts w:hint="default" w:ascii="Arial" w:hAnsi="Arial" w:cs="Arial"/>
          <w:lang w:val="pt-BR"/>
        </w:rPr>
        <w:t>e</w:t>
      </w:r>
      <w:r>
        <w:rPr>
          <w:rFonts w:ascii="Arial" w:hAnsi="Arial" w:cs="Arial"/>
        </w:rPr>
        <w:t>specificidades de cada área.</w:t>
      </w:r>
    </w:p>
    <w:p w14:paraId="1EBCF9C3">
      <w:pPr>
        <w:pStyle w:val="4"/>
        <w:spacing w:after="0" w:line="360" w:lineRule="auto"/>
        <w:ind w:firstLine="709"/>
        <w:jc w:val="both"/>
        <w:rPr>
          <w:rFonts w:ascii="Arial" w:hAnsi="Arial" w:cs="Arial"/>
        </w:rPr>
      </w:pPr>
      <w:r>
        <w:rPr>
          <w:rFonts w:ascii="Arial" w:hAnsi="Arial" w:cs="Arial"/>
        </w:rPr>
        <w:t xml:space="preserve"> </w:t>
      </w:r>
    </w:p>
    <w:p w14:paraId="1C4E588F">
      <w:pPr>
        <w:pStyle w:val="4"/>
        <w:spacing w:after="0" w:line="360" w:lineRule="auto"/>
        <w:ind w:firstLine="709"/>
        <w:jc w:val="both"/>
        <w:rPr>
          <w:rFonts w:ascii="Arial" w:hAnsi="Arial" w:cs="Arial"/>
        </w:rPr>
      </w:pPr>
      <w:r>
        <w:rPr>
          <w:rFonts w:ascii="Arial" w:hAnsi="Arial" w:cs="Arial"/>
        </w:rPr>
        <w:t>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aperfeiçoamento da rotina, tendo como foco central sempre a melhor qualidade no atendimento prestado ao paciente.</w:t>
      </w:r>
    </w:p>
    <w:p w14:paraId="67DCBB11">
      <w:pPr>
        <w:spacing w:after="0" w:line="360" w:lineRule="auto"/>
        <w:ind w:firstLine="709"/>
        <w:jc w:val="both"/>
        <w:rPr>
          <w:rFonts w:ascii="Arial" w:hAnsi="Arial" w:cs="Arial"/>
        </w:rPr>
      </w:pPr>
      <w:bookmarkStart w:id="14" w:name="_Hlk179792142"/>
      <w:r>
        <w:rPr>
          <w:rFonts w:ascii="Arial" w:hAnsi="Arial" w:cs="Arial"/>
        </w:rPr>
        <w:t xml:space="preserve">No mês de </w:t>
      </w:r>
      <w:r>
        <w:rPr>
          <w:rFonts w:hint="default" w:ascii="Arial" w:hAnsi="Arial" w:cs="Arial"/>
          <w:lang w:val="pt-BR"/>
        </w:rPr>
        <w:t>maio</w:t>
      </w:r>
      <w:r>
        <w:rPr>
          <w:rFonts w:ascii="Arial" w:hAnsi="Arial" w:cs="Arial"/>
        </w:rPr>
        <w:t xml:space="preserve">/2025, foram realizadas algumas ações realizadas pelo o setor da SCIRAS. Fiscalização nos setores da higiene e limpeza, setor de hemodiálise, CME esterilização de material, copas, coleta dos RSS, conformidades e não conformidade.   </w:t>
      </w:r>
    </w:p>
    <w:p w14:paraId="74400AFC">
      <w:pPr>
        <w:spacing w:after="0" w:line="360" w:lineRule="auto"/>
        <w:ind w:firstLine="709"/>
        <w:jc w:val="both"/>
        <w:rPr>
          <w:rFonts w:ascii="Arial" w:hAnsi="Arial" w:cs="Arial"/>
        </w:rPr>
      </w:pPr>
    </w:p>
    <w:p w14:paraId="2CD28054">
      <w:pPr>
        <w:spacing w:after="0" w:line="360" w:lineRule="auto"/>
        <w:ind w:firstLine="709"/>
        <w:jc w:val="both"/>
        <w:rPr>
          <w:rFonts w:ascii="Arial" w:hAnsi="Arial" w:cs="Arial"/>
        </w:rPr>
      </w:pPr>
      <w:r>
        <w:rPr>
          <w:rFonts w:ascii="Arial" w:hAnsi="Arial" w:cs="Arial"/>
        </w:rPr>
        <w:t xml:space="preserve"> Fiscalização na limpeza terminal do setor de hemodiálise destacam-se redução na taxa de infecção dos pacientes da hemodiálise, melhoria na satisfação dos pacientes o que evidência o impacto positivo das ações desenvolvidas, realizado DSS sobre a importância da Identificação correta do paciente reforçando a Segurança do Paciente. </w:t>
      </w:r>
    </w:p>
    <w:p w14:paraId="1AB5029D">
      <w:pPr>
        <w:spacing w:after="0" w:line="360" w:lineRule="auto"/>
        <w:ind w:firstLine="709"/>
        <w:jc w:val="both"/>
        <w:rPr>
          <w:rFonts w:ascii="Arial" w:hAnsi="Arial" w:cs="Arial"/>
        </w:rPr>
      </w:pPr>
    </w:p>
    <w:p w14:paraId="18815A4B">
      <w:pPr>
        <w:spacing w:after="0" w:line="360" w:lineRule="auto"/>
        <w:ind w:firstLine="709"/>
        <w:jc w:val="both"/>
        <w:rPr>
          <w:rFonts w:ascii="Arial" w:hAnsi="Arial" w:cs="Arial"/>
        </w:rPr>
      </w:pPr>
      <w:r>
        <w:rPr>
          <w:rFonts w:ascii="Arial" w:hAnsi="Arial" w:cs="Arial"/>
        </w:rPr>
        <w:t xml:space="preserve">Os desafios continuam para que possamos melhorar nosso trabalho e oferecer um atendimento de qualidade aos pacientes e colaboradores. </w:t>
      </w:r>
      <w:bookmarkEnd w:id="14"/>
      <w:r>
        <w:rPr>
          <w:rFonts w:ascii="Arial" w:hAnsi="Arial" w:cs="Arial"/>
        </w:rPr>
        <w:t>O compromisso contínuo com a adesão às práticas de prevenção de infecção é essencial para manter os indicadores sob controle e garantir a segurança dos pacientes e colaboradores.</w:t>
      </w:r>
    </w:p>
    <w:p w14:paraId="0E6A770D">
      <w:pPr>
        <w:spacing w:after="0" w:line="360" w:lineRule="auto"/>
        <w:ind w:firstLine="709"/>
        <w:jc w:val="both"/>
        <w:rPr>
          <w:rFonts w:ascii="Arial" w:hAnsi="Arial" w:cs="Arial"/>
        </w:rPr>
      </w:pPr>
    </w:p>
    <w:p w14:paraId="73E5BD47">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15" w:name="_Toc192161429"/>
      <w:r>
        <w:rPr>
          <w:rFonts w:ascii="Arial" w:hAnsi="Arial" w:cs="Arial"/>
          <w:b/>
          <w:bCs/>
          <w:color w:val="000000" w:themeColor="text1"/>
          <w:sz w:val="22"/>
          <w:szCs w:val="22"/>
          <w14:textFill>
            <w14:solidFill>
              <w14:schemeClr w14:val="tx1"/>
            </w14:solidFill>
          </w14:textFill>
        </w:rPr>
        <w:t>Núcleo de Verificação Epidemiológica (NVE)</w:t>
      </w:r>
      <w:bookmarkEnd w:id="15"/>
    </w:p>
    <w:p w14:paraId="052653A8">
      <w:pPr>
        <w:pStyle w:val="4"/>
      </w:pPr>
    </w:p>
    <w:p w14:paraId="0123E027">
      <w:pPr>
        <w:spacing w:before="240" w:line="360" w:lineRule="auto"/>
        <w:ind w:left="0" w:leftChars="0" w:right="0" w:rightChars="0" w:firstLine="624" w:firstLineChars="284"/>
        <w:jc w:val="both"/>
        <w:rPr>
          <w:rFonts w:ascii="Arial" w:hAnsi="Arial" w:cs="Arial"/>
          <w:b/>
          <w:bCs/>
          <w:color w:val="000000" w:themeColor="text1"/>
          <w:sz w:val="22"/>
          <w:szCs w:val="22"/>
          <w:shd w:val="clear" w:color="auto" w:fill="FFFFFF"/>
          <w14:textFill>
            <w14:solidFill>
              <w14:schemeClr w14:val="tx1"/>
            </w14:solidFill>
          </w14:textFill>
        </w:rPr>
      </w:pPr>
      <w:r>
        <w:rPr>
          <w:rFonts w:ascii="Arial" w:hAnsi="Arial" w:cs="Arial"/>
        </w:rPr>
        <w:t>A</w:t>
      </w:r>
      <w:r>
        <w:rPr>
          <w:rFonts w:ascii="Arial" w:hAnsi="Arial" w:cs="Arial"/>
          <w:spacing w:val="-7"/>
        </w:rPr>
        <w:t xml:space="preserve"> </w:t>
      </w:r>
      <w:r>
        <w:rPr>
          <w:rFonts w:ascii="Arial" w:hAnsi="Arial" w:cs="Arial"/>
        </w:rPr>
        <w:t>Comissão</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Núcleo</w:t>
      </w:r>
      <w:r>
        <w:rPr>
          <w:rFonts w:ascii="Arial" w:hAnsi="Arial" w:cs="Arial"/>
          <w:spacing w:val="-7"/>
        </w:rPr>
        <w:t xml:space="preserve"> </w:t>
      </w:r>
      <w:r>
        <w:rPr>
          <w:rFonts w:ascii="Arial" w:hAnsi="Arial" w:cs="Arial"/>
        </w:rPr>
        <w:t>Vigilância</w:t>
      </w:r>
      <w:r>
        <w:rPr>
          <w:rFonts w:ascii="Arial" w:hAnsi="Arial" w:cs="Arial"/>
          <w:spacing w:val="-6"/>
        </w:rPr>
        <w:t xml:space="preserve"> </w:t>
      </w:r>
      <w:r>
        <w:rPr>
          <w:rFonts w:ascii="Arial" w:hAnsi="Arial" w:cs="Arial"/>
        </w:rPr>
        <w:t>Epidemiológico</w:t>
      </w:r>
      <w:r>
        <w:rPr>
          <w:rFonts w:ascii="Arial" w:hAnsi="Arial" w:cs="Arial"/>
          <w:spacing w:val="-5"/>
        </w:rPr>
        <w:t xml:space="preserve"> </w:t>
      </w:r>
      <w:r>
        <w:rPr>
          <w:rFonts w:ascii="Arial" w:hAnsi="Arial" w:cs="Arial"/>
        </w:rPr>
        <w:t>está</w:t>
      </w:r>
      <w:r>
        <w:rPr>
          <w:rFonts w:ascii="Arial" w:hAnsi="Arial" w:cs="Arial"/>
          <w:spacing w:val="-6"/>
        </w:rPr>
        <w:t xml:space="preserve"> </w:t>
      </w:r>
      <w:r>
        <w:rPr>
          <w:rFonts w:ascii="Arial" w:hAnsi="Arial" w:cs="Arial"/>
        </w:rPr>
        <w:t>ligada</w:t>
      </w:r>
      <w:r>
        <w:rPr>
          <w:rFonts w:ascii="Arial" w:hAnsi="Arial" w:cs="Arial"/>
          <w:spacing w:val="-9"/>
        </w:rPr>
        <w:t xml:space="preserve"> </w:t>
      </w:r>
      <w:r>
        <w:rPr>
          <w:rFonts w:ascii="Arial" w:hAnsi="Arial" w:cs="Arial"/>
        </w:rPr>
        <w:t>a</w:t>
      </w:r>
      <w:r>
        <w:rPr>
          <w:rFonts w:ascii="Arial" w:hAnsi="Arial" w:cs="Arial"/>
          <w:spacing w:val="-6"/>
        </w:rPr>
        <w:t xml:space="preserve"> </w:t>
      </w:r>
      <w:r>
        <w:rPr>
          <w:rFonts w:ascii="Arial" w:hAnsi="Arial" w:cs="Arial"/>
        </w:rPr>
        <w:t>Policlínica</w:t>
      </w:r>
      <w:r>
        <w:rPr>
          <w:rFonts w:ascii="Arial" w:hAnsi="Arial" w:cs="Arial"/>
          <w:spacing w:val="-9"/>
        </w:rPr>
        <w:t xml:space="preserve"> </w:t>
      </w:r>
      <w:r>
        <w:rPr>
          <w:rFonts w:ascii="Arial" w:hAnsi="Arial" w:cs="Arial"/>
        </w:rPr>
        <w:t>Estadual</w:t>
      </w:r>
      <w:r>
        <w:rPr>
          <w:rFonts w:ascii="Arial" w:hAnsi="Arial" w:cs="Arial"/>
          <w:spacing w:val="-7"/>
        </w:rPr>
        <w:t xml:space="preserve"> </w:t>
      </w:r>
      <w:r>
        <w:rPr>
          <w:rFonts w:ascii="Arial" w:hAnsi="Arial" w:cs="Arial"/>
        </w:rPr>
        <w:t>da</w:t>
      </w:r>
      <w:r>
        <w:rPr>
          <w:rFonts w:ascii="Arial" w:hAnsi="Arial" w:cs="Arial"/>
          <w:spacing w:val="-9"/>
        </w:rPr>
        <w:t xml:space="preserve"> </w:t>
      </w:r>
      <w:r>
        <w:rPr>
          <w:rFonts w:ascii="Arial" w:hAnsi="Arial" w:cs="Arial"/>
        </w:rPr>
        <w:t>Região</w:t>
      </w:r>
      <w:r>
        <w:rPr>
          <w:rFonts w:ascii="Arial" w:hAnsi="Arial" w:cs="Arial"/>
          <w:spacing w:val="-58"/>
        </w:rPr>
        <w:t xml:space="preserve"> </w:t>
      </w:r>
      <w:r>
        <w:rPr>
          <w:rFonts w:ascii="Arial" w:hAnsi="Arial" w:cs="Arial"/>
        </w:rPr>
        <w:t>Sudoeste</w:t>
      </w:r>
      <w:r>
        <w:rPr>
          <w:rFonts w:ascii="Arial" w:hAnsi="Arial" w:cs="Arial"/>
          <w:spacing w:val="-11"/>
        </w:rPr>
        <w:t xml:space="preserve"> </w:t>
      </w:r>
      <w:r>
        <w:rPr>
          <w:rFonts w:ascii="Arial" w:hAnsi="Arial" w:cs="Arial"/>
        </w:rPr>
        <w:t>–</w:t>
      </w:r>
      <w:r>
        <w:rPr>
          <w:rFonts w:ascii="Arial" w:hAnsi="Arial" w:cs="Arial"/>
          <w:spacing w:val="-13"/>
        </w:rPr>
        <w:t xml:space="preserve"> </w:t>
      </w:r>
      <w:r>
        <w:rPr>
          <w:rFonts w:ascii="Arial" w:hAnsi="Arial" w:cs="Arial"/>
        </w:rPr>
        <w:t>Quirinópolis,</w:t>
      </w:r>
      <w:r>
        <w:rPr>
          <w:rFonts w:ascii="Arial" w:hAnsi="Arial" w:cs="Arial"/>
          <w:spacing w:val="-11"/>
        </w:rPr>
        <w:t xml:space="preserve"> </w:t>
      </w:r>
      <w:r>
        <w:rPr>
          <w:rFonts w:ascii="Arial" w:hAnsi="Arial" w:cs="Arial"/>
        </w:rPr>
        <w:t>representante</w:t>
      </w:r>
      <w:r>
        <w:rPr>
          <w:rFonts w:ascii="Arial" w:hAnsi="Arial" w:cs="Arial"/>
          <w:spacing w:val="-13"/>
        </w:rPr>
        <w:t xml:space="preserve"> </w:t>
      </w:r>
      <w:r>
        <w:rPr>
          <w:rFonts w:ascii="Arial" w:hAnsi="Arial" w:cs="Arial"/>
        </w:rPr>
        <w:t>do</w:t>
      </w:r>
      <w:r>
        <w:rPr>
          <w:rFonts w:ascii="Arial" w:hAnsi="Arial" w:cs="Arial"/>
          <w:spacing w:val="-11"/>
        </w:rPr>
        <w:t xml:space="preserve"> </w:t>
      </w:r>
      <w:r>
        <w:rPr>
          <w:rFonts w:ascii="Arial" w:hAnsi="Arial" w:cs="Arial"/>
        </w:rPr>
        <w:t>SESMT,</w:t>
      </w:r>
      <w:r>
        <w:rPr>
          <w:rFonts w:ascii="Arial" w:hAnsi="Arial" w:cs="Arial"/>
          <w:spacing w:val="-8"/>
        </w:rPr>
        <w:t xml:space="preserve"> </w:t>
      </w:r>
      <w:r>
        <w:rPr>
          <w:rFonts w:ascii="Arial" w:hAnsi="Arial" w:cs="Arial"/>
        </w:rPr>
        <w:t>representante</w:t>
      </w:r>
      <w:r>
        <w:rPr>
          <w:rFonts w:ascii="Arial" w:hAnsi="Arial" w:cs="Arial"/>
          <w:spacing w:val="-13"/>
        </w:rPr>
        <w:t xml:space="preserve"> </w:t>
      </w:r>
      <w:r>
        <w:rPr>
          <w:rFonts w:ascii="Arial" w:hAnsi="Arial" w:cs="Arial"/>
        </w:rPr>
        <w:t>da</w:t>
      </w:r>
      <w:r>
        <w:rPr>
          <w:rFonts w:ascii="Arial" w:hAnsi="Arial" w:cs="Arial"/>
          <w:spacing w:val="-12"/>
        </w:rPr>
        <w:t xml:space="preserve"> </w:t>
      </w:r>
      <w:r>
        <w:rPr>
          <w:rFonts w:ascii="Arial" w:hAnsi="Arial" w:cs="Arial"/>
        </w:rPr>
        <w:t>comissão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controle</w:t>
      </w:r>
      <w:r>
        <w:rPr>
          <w:rFonts w:ascii="Arial" w:hAnsi="Arial" w:cs="Arial"/>
          <w:spacing w:val="-10"/>
        </w:rPr>
        <w:t xml:space="preserve"> </w:t>
      </w:r>
      <w:r>
        <w:rPr>
          <w:rFonts w:ascii="Arial" w:hAnsi="Arial" w:cs="Arial"/>
        </w:rPr>
        <w:t>de</w:t>
      </w:r>
      <w:r>
        <w:rPr>
          <w:rFonts w:ascii="Arial" w:hAnsi="Arial" w:cs="Arial"/>
          <w:spacing w:val="-59"/>
        </w:rPr>
        <w:t xml:space="preserve"> </w:t>
      </w:r>
      <w:r>
        <w:rPr>
          <w:rFonts w:ascii="Arial" w:hAnsi="Arial" w:cs="Arial"/>
        </w:rPr>
        <w:t>Infecção Hospitalar – CCIH, gerência de enfermagem, direção técnica, representante do</w:t>
      </w:r>
      <w:r>
        <w:rPr>
          <w:rFonts w:ascii="Arial" w:hAnsi="Arial" w:cs="Arial"/>
          <w:spacing w:val="1"/>
        </w:rPr>
        <w:t xml:space="preserve"> </w:t>
      </w:r>
      <w:r>
        <w:rPr>
          <w:rFonts w:ascii="Arial" w:hAnsi="Arial" w:cs="Arial"/>
        </w:rPr>
        <w:t>Plano de Gerenciamento de Resíduos de Serviço de Saúde – PGRSS e representante da</w:t>
      </w:r>
      <w:r>
        <w:rPr>
          <w:rFonts w:ascii="Arial" w:hAnsi="Arial" w:cs="Arial"/>
          <w:spacing w:val="1"/>
        </w:rPr>
        <w:t xml:space="preserve"> </w:t>
      </w:r>
      <w:r>
        <w:rPr>
          <w:rFonts w:ascii="Arial" w:hAnsi="Arial" w:cs="Arial"/>
        </w:rPr>
        <w:t>central de material e esterilização – CME e tem o papel fundamental de prevenir surtos</w:t>
      </w:r>
      <w:r>
        <w:rPr>
          <w:rFonts w:ascii="Arial" w:hAnsi="Arial" w:cs="Arial"/>
          <w:spacing w:val="1"/>
        </w:rPr>
        <w:t xml:space="preserve"> </w:t>
      </w:r>
      <w:r>
        <w:rPr>
          <w:rFonts w:ascii="Arial" w:hAnsi="Arial" w:cs="Arial"/>
        </w:rPr>
        <w:t>epidemiológicos.</w:t>
      </w:r>
      <w:bookmarkStart w:id="16" w:name="_Toc178587851"/>
      <w:r>
        <w:rPr>
          <w:rFonts w:ascii="Arial" w:hAnsi="Arial" w:cs="Arial"/>
          <w:b/>
          <w:bCs/>
          <w:color w:val="000000" w:themeColor="text1"/>
          <w:sz w:val="22"/>
          <w:szCs w:val="22"/>
          <w:shd w:val="clear" w:color="auto" w:fill="FFFFFF"/>
          <w14:textFill>
            <w14:solidFill>
              <w14:schemeClr w14:val="tx1"/>
            </w14:solidFill>
          </w14:textFill>
        </w:rPr>
        <w:t xml:space="preserve">    </w:t>
      </w:r>
    </w:p>
    <w:p w14:paraId="56B8D3F6">
      <w:pPr>
        <w:spacing w:before="240" w:line="360" w:lineRule="auto"/>
        <w:ind w:left="0" w:leftChars="0" w:right="0" w:rightChars="0" w:firstLine="625" w:firstLineChars="284"/>
        <w:jc w:val="both"/>
        <w:rPr>
          <w:rFonts w:ascii="Arial" w:hAnsi="Arial" w:eastAsia="Times New Roman" w:cs="Arial"/>
          <w:color w:val="000000"/>
          <w:sz w:val="22"/>
          <w:szCs w:val="22"/>
          <w:lang w:eastAsia="pt-BR"/>
        </w:rPr>
      </w:pPr>
      <w:r>
        <w:rPr>
          <w:rFonts w:ascii="Arial" w:hAnsi="Arial" w:cs="Arial"/>
          <w:b/>
          <w:bCs/>
          <w:color w:val="000000" w:themeColor="text1"/>
          <w:sz w:val="22"/>
          <w:szCs w:val="22"/>
          <w:shd w:val="clear" w:color="auto" w:fill="FFFFFF"/>
          <w14:textFill>
            <w14:solidFill>
              <w14:schemeClr w14:val="tx1"/>
            </w14:solidFill>
          </w14:textFill>
        </w:rPr>
        <w:t xml:space="preserve">  </w:t>
      </w:r>
      <w:bookmarkEnd w:id="16"/>
      <w:r>
        <w:rPr>
          <w:rFonts w:ascii="Arial" w:hAnsi="Arial" w:cs="Arial"/>
          <w:color w:val="000000" w:themeColor="text1"/>
          <w:sz w:val="22"/>
          <w:szCs w:val="22"/>
          <w14:textFill>
            <w14:solidFill>
              <w14:schemeClr w14:val="tx1"/>
            </w14:solidFill>
          </w14:textFill>
        </w:rPr>
        <w:t xml:space="preserve">No mês de maio foram feitas várias participações nos eventos propostos pelos demais setores. Além das atividades cotidianas que são realizadas de acordo com as demandas do núcleo de vigilância epidemiológica, e participação no </w:t>
      </w:r>
      <w:r>
        <w:rPr>
          <w:rFonts w:ascii="Arial" w:hAnsi="Arial" w:eastAsia="Times New Roman" w:cs="Arial"/>
          <w:color w:val="000000"/>
          <w:sz w:val="22"/>
          <w:szCs w:val="22"/>
          <w:lang w:eastAsia="pt-BR"/>
        </w:rPr>
        <w:t>I Simpósio Estadual de Controle de Infecção Relacionado à Saúde nos Serviços de Saúde – Goiás 2025, um evento riquíssimo em conhecimento.</w:t>
      </w:r>
    </w:p>
    <w:p w14:paraId="0B1B46CF">
      <w:pPr>
        <w:keepNext w:val="0"/>
        <w:keepLines w:val="0"/>
        <w:widowControl/>
        <w:suppressLineNumbers w:val="0"/>
        <w:spacing w:line="360" w:lineRule="auto"/>
        <w:jc w:val="both"/>
      </w:pPr>
      <w:r>
        <w:rPr>
          <w:rFonts w:hint="default" w:ascii="Arial" w:hAnsi="Arial" w:eastAsia="SimSun" w:cs="Arial"/>
          <w:color w:val="000000"/>
          <w:kern w:val="0"/>
          <w:sz w:val="22"/>
          <w:szCs w:val="22"/>
          <w:lang w:val="en-US" w:eastAsia="zh-CN" w:bidi="ar"/>
        </w:rPr>
        <w:t xml:space="preserve"> </w:t>
      </w:r>
      <w:r>
        <w:rPr>
          <w:rFonts w:ascii="Arial" w:hAnsi="Arial" w:cs="Arial"/>
          <w:color w:val="000000" w:themeColor="text1"/>
          <w14:textFill>
            <w14:solidFill>
              <w14:schemeClr w14:val="tx1"/>
            </w14:solidFill>
          </w14:textFill>
        </w:rPr>
        <w:t>.</w:t>
      </w:r>
    </w:p>
    <w:p w14:paraId="3AB8F325">
      <w:pPr>
        <w:pStyle w:val="3"/>
        <w:numPr>
          <w:ilvl w:val="0"/>
          <w:numId w:val="5"/>
        </w:numPr>
        <w:spacing w:before="240" w:after="240" w:line="360" w:lineRule="auto"/>
        <w:jc w:val="both"/>
        <w:rPr>
          <w:rFonts w:ascii="Arial" w:hAnsi="Arial" w:cs="Arial"/>
          <w:b/>
          <w:bCs/>
          <w:color w:val="000000" w:themeColor="text1"/>
          <w:sz w:val="22"/>
          <w:szCs w:val="22"/>
          <w14:textFill>
            <w14:solidFill>
              <w14:schemeClr w14:val="tx1"/>
            </w14:solidFill>
          </w14:textFill>
        </w:rPr>
      </w:pPr>
      <w:bookmarkStart w:id="17" w:name="_Toc158119979"/>
      <w:bookmarkStart w:id="18" w:name="_Toc192161431"/>
      <w:r>
        <w:rPr>
          <w:rFonts w:ascii="Arial" w:hAnsi="Arial" w:cs="Arial"/>
          <w:b/>
          <w:bCs/>
          <w:color w:val="000000" w:themeColor="text1"/>
          <w:sz w:val="22"/>
          <w:szCs w:val="22"/>
          <w14:textFill>
            <w14:solidFill>
              <w14:schemeClr w14:val="tx1"/>
            </w14:solidFill>
          </w14:textFill>
        </w:rPr>
        <w:t>Núcleo de Educação Permanente – NEP</w:t>
      </w:r>
      <w:bookmarkEnd w:id="17"/>
      <w:r>
        <w:rPr>
          <w:rFonts w:ascii="Arial" w:hAnsi="Arial" w:cs="Arial"/>
          <w:b/>
          <w:bCs/>
          <w:color w:val="000000" w:themeColor="text1"/>
          <w:sz w:val="22"/>
          <w:szCs w:val="22"/>
          <w14:textFill>
            <w14:solidFill>
              <w14:schemeClr w14:val="tx1"/>
            </w14:solidFill>
          </w14:textFill>
        </w:rPr>
        <w:t>E</w:t>
      </w:r>
      <w:bookmarkEnd w:id="18"/>
    </w:p>
    <w:p w14:paraId="5FEC836F">
      <w:pPr>
        <w:pStyle w:val="4"/>
      </w:pPr>
    </w:p>
    <w:p w14:paraId="6AF20576">
      <w:pPr>
        <w:spacing w:after="0" w:line="360" w:lineRule="auto"/>
        <w:ind w:left="-440" w:leftChars="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0397A9AC">
      <w:pPr>
        <w:spacing w:after="0" w:line="360" w:lineRule="auto"/>
        <w:ind w:left="-440" w:leftChars="0" w:firstLine="330" w:firstLineChars="150"/>
        <w:jc w:val="both"/>
        <w:rPr>
          <w:rFonts w:ascii="Arial" w:hAnsi="Arial" w:cs="Arial"/>
          <w:color w:val="202124"/>
          <w:shd w:val="clear" w:color="auto" w:fill="FFFFFF"/>
        </w:rPr>
      </w:pPr>
    </w:p>
    <w:p w14:paraId="7E7787D2">
      <w:pPr>
        <w:spacing w:after="0" w:line="360" w:lineRule="auto"/>
        <w:ind w:left="-440" w:leftChars="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4E71404E">
      <w:pPr>
        <w:spacing w:after="0" w:line="360" w:lineRule="auto"/>
        <w:ind w:left="-440" w:leftChars="0" w:firstLine="330" w:firstLineChars="150"/>
        <w:jc w:val="both"/>
        <w:rPr>
          <w:rFonts w:ascii="Arial" w:hAnsi="Arial" w:cs="Arial"/>
          <w:color w:val="202124"/>
          <w:shd w:val="clear" w:color="auto" w:fill="FFFFFF"/>
        </w:rPr>
      </w:pPr>
    </w:p>
    <w:p w14:paraId="12F93E48">
      <w:pPr>
        <w:spacing w:after="0" w:line="360" w:lineRule="auto"/>
        <w:ind w:left="-440" w:leftChars="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25A5E83E">
      <w:pPr>
        <w:spacing w:after="0" w:line="360" w:lineRule="auto"/>
        <w:ind w:left="-440" w:leftChars="0" w:firstLine="330" w:firstLineChars="150"/>
        <w:jc w:val="both"/>
        <w:rPr>
          <w:rFonts w:ascii="Arial" w:hAnsi="Arial" w:cs="Arial"/>
          <w:color w:val="202124"/>
          <w:shd w:val="clear" w:color="auto" w:fill="FFFFFF"/>
        </w:rPr>
      </w:pPr>
    </w:p>
    <w:p w14:paraId="61901F2F">
      <w:pPr>
        <w:numPr>
          <w:ilvl w:val="0"/>
          <w:numId w:val="9"/>
        </w:numPr>
        <w:spacing w:after="0" w:line="360" w:lineRule="auto"/>
        <w:ind w:left="420" w:leftChars="0" w:hanging="420" w:firstLineChars="0"/>
        <w:jc w:val="both"/>
        <w:rPr>
          <w:rFonts w:ascii="Arial" w:hAnsi="Arial" w:cs="Arial"/>
          <w:color w:val="202124"/>
          <w:shd w:val="clear" w:color="auto" w:fill="FFFFFF"/>
        </w:rPr>
      </w:pPr>
      <w:r>
        <w:rPr>
          <w:rFonts w:ascii="Arial" w:hAnsi="Arial" w:cs="Arial"/>
          <w:b/>
          <w:bCs/>
          <w:color w:val="202124"/>
          <w:shd w:val="clear" w:color="auto" w:fill="FFFFFF"/>
        </w:rPr>
        <w:t>Educação permanente</w:t>
      </w:r>
      <w:r>
        <w:rPr>
          <w:rFonts w:ascii="Arial" w:hAnsi="Arial" w:cs="Arial"/>
          <w:color w:val="202124"/>
          <w:shd w:val="clear" w:color="auto" w:fill="FFFFFF"/>
        </w:rPr>
        <w:t xml:space="preserv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2078A5B6">
      <w:pPr>
        <w:numPr>
          <w:ilvl w:val="0"/>
          <w:numId w:val="0"/>
        </w:numPr>
        <w:spacing w:after="0" w:line="360" w:lineRule="auto"/>
        <w:ind w:leftChars="0"/>
        <w:jc w:val="both"/>
        <w:rPr>
          <w:rFonts w:ascii="Arial" w:hAnsi="Arial" w:cs="Arial"/>
          <w:color w:val="202124"/>
          <w:shd w:val="clear" w:color="auto" w:fill="FFFFFF"/>
        </w:rPr>
      </w:pPr>
    </w:p>
    <w:p w14:paraId="1A03ABE8">
      <w:pPr>
        <w:spacing w:after="0" w:line="360" w:lineRule="auto"/>
        <w:ind w:left="-220" w:leftChars="-10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E as qualificações que tem como foco principal no aperfeiçoamento das habilidades do profissional, são elaborados treinamentos que alcancem os objetivos, tanto no desenvolvimento dos profissionais, quanto os objetivos da unidade. </w:t>
      </w:r>
    </w:p>
    <w:p w14:paraId="228AB4BC">
      <w:pPr>
        <w:spacing w:after="0" w:line="360" w:lineRule="auto"/>
        <w:ind w:left="-220" w:leftChars="-100" w:firstLine="330" w:firstLineChars="150"/>
        <w:jc w:val="both"/>
        <w:rPr>
          <w:rFonts w:ascii="Arial" w:hAnsi="Arial" w:cs="Arial"/>
          <w:color w:val="202124"/>
          <w:shd w:val="clear" w:color="auto" w:fill="FFFFFF"/>
        </w:rPr>
      </w:pPr>
    </w:p>
    <w:p w14:paraId="0D04DFD5">
      <w:pPr>
        <w:spacing w:after="0" w:line="360" w:lineRule="auto"/>
        <w:ind w:left="-220" w:leftChars="-10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755F4913">
      <w:pPr>
        <w:spacing w:after="0" w:line="360" w:lineRule="auto"/>
        <w:ind w:left="-220" w:leftChars="-100" w:firstLine="330" w:firstLineChars="150"/>
        <w:jc w:val="both"/>
        <w:rPr>
          <w:rFonts w:ascii="Arial" w:hAnsi="Arial" w:cs="Arial"/>
          <w:color w:val="202124"/>
          <w:shd w:val="clear" w:color="auto" w:fill="FFFFFF"/>
        </w:rPr>
      </w:pPr>
    </w:p>
    <w:p w14:paraId="2BA58BB3">
      <w:pPr>
        <w:numPr>
          <w:ilvl w:val="0"/>
          <w:numId w:val="9"/>
        </w:numPr>
        <w:spacing w:after="0" w:line="360" w:lineRule="auto"/>
        <w:ind w:left="420" w:leftChars="0" w:hanging="420" w:firstLineChars="0"/>
        <w:jc w:val="both"/>
        <w:rPr>
          <w:rFonts w:ascii="Arial" w:hAnsi="Arial" w:cs="Arial"/>
          <w:color w:val="202124"/>
          <w:shd w:val="clear" w:color="auto" w:fill="FFFFFF"/>
        </w:rPr>
      </w:pPr>
      <w:r>
        <w:rPr>
          <w:rFonts w:ascii="Arial" w:hAnsi="Arial" w:cs="Arial"/>
          <w:b/>
          <w:bCs/>
          <w:color w:val="202124"/>
          <w:shd w:val="clear" w:color="auto" w:fill="FFFFFF"/>
        </w:rPr>
        <w:t>Educação em Saúde:</w:t>
      </w:r>
      <w:r>
        <w:rPr>
          <w:rFonts w:ascii="Arial" w:hAnsi="Arial" w:cs="Arial"/>
          <w:color w:val="202124"/>
          <w:shd w:val="clear" w:color="auto" w:fill="FFFFFF"/>
        </w:rPr>
        <w:t xml:space="preserv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040951E0">
      <w:pPr>
        <w:numPr>
          <w:ilvl w:val="0"/>
          <w:numId w:val="9"/>
        </w:numPr>
        <w:spacing w:after="0" w:line="360" w:lineRule="auto"/>
        <w:ind w:left="420" w:leftChars="0" w:hanging="420" w:firstLineChars="0"/>
        <w:jc w:val="both"/>
        <w:rPr>
          <w:rFonts w:ascii="Arial" w:hAnsi="Arial" w:cs="Arial"/>
          <w:color w:val="202124"/>
          <w:shd w:val="clear" w:color="auto" w:fill="FFFFFF"/>
        </w:rPr>
      </w:pPr>
    </w:p>
    <w:p w14:paraId="495FA50D">
      <w:pPr>
        <w:spacing w:after="0" w:line="360" w:lineRule="auto"/>
        <w:ind w:left="-220" w:leftChars="-10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aprimoramento da qualidade da assistência ao paciente. Em </w:t>
      </w:r>
      <w:r>
        <w:rPr>
          <w:rFonts w:hint="default" w:ascii="Arial" w:hAnsi="Arial" w:cs="Arial"/>
          <w:color w:val="202124"/>
          <w:shd w:val="clear" w:color="auto" w:fill="FFFFFF"/>
          <w:lang w:val="pt-BR"/>
        </w:rPr>
        <w:t xml:space="preserve">maio </w:t>
      </w:r>
      <w:r>
        <w:rPr>
          <w:rFonts w:ascii="Arial" w:hAnsi="Arial" w:cs="Arial"/>
          <w:color w:val="202124"/>
          <w:shd w:val="clear" w:color="auto" w:fill="FFFFFF"/>
        </w:rPr>
        <w:t xml:space="preserve">de 2025 foram realizadas ações educativas com colaboradores e pacientes norteado pelos temas do calendário de saúde. </w:t>
      </w:r>
    </w:p>
    <w:p w14:paraId="3BB8D612">
      <w:pPr>
        <w:spacing w:after="0" w:line="360" w:lineRule="auto"/>
        <w:ind w:left="-220" w:leftChars="-100" w:firstLine="330" w:firstLineChars="150"/>
        <w:jc w:val="both"/>
        <w:rPr>
          <w:rFonts w:ascii="Arial" w:hAnsi="Arial" w:cs="Arial"/>
          <w:color w:val="202124"/>
          <w:shd w:val="clear" w:color="auto" w:fill="FFFFFF"/>
        </w:rPr>
      </w:pPr>
      <w:r>
        <w:rPr>
          <w:rFonts w:ascii="Arial" w:hAnsi="Arial" w:cs="Arial"/>
          <w:color w:val="202124"/>
          <w:shd w:val="clear" w:color="auto" w:fill="FFFFFF"/>
        </w:rPr>
        <w:t>Abaixo é detalhamento as ações educativas citadas executados durante o mês:</w:t>
      </w:r>
    </w:p>
    <w:p w14:paraId="65CF4890">
      <w:pPr>
        <w:spacing w:after="0" w:line="360" w:lineRule="auto"/>
        <w:ind w:left="-220" w:leftChars="-100" w:firstLine="330" w:firstLineChars="150"/>
        <w:jc w:val="both"/>
        <w:rPr>
          <w:rFonts w:ascii="Arial" w:hAnsi="Arial" w:cs="Arial"/>
          <w:color w:val="202124"/>
          <w:shd w:val="clear" w:color="auto" w:fill="FFFFFF"/>
        </w:rPr>
      </w:pPr>
    </w:p>
    <w:tbl>
      <w:tblPr>
        <w:tblStyle w:val="9"/>
        <w:tblW w:w="10774" w:type="dxa"/>
        <w:tblInd w:w="-1003" w:type="dxa"/>
        <w:tblLayout w:type="fixed"/>
        <w:tblCellMar>
          <w:top w:w="0" w:type="dxa"/>
          <w:left w:w="70" w:type="dxa"/>
          <w:bottom w:w="0" w:type="dxa"/>
          <w:right w:w="70" w:type="dxa"/>
        </w:tblCellMar>
      </w:tblPr>
      <w:tblGrid>
        <w:gridCol w:w="2398"/>
        <w:gridCol w:w="1714"/>
        <w:gridCol w:w="1984"/>
        <w:gridCol w:w="1276"/>
        <w:gridCol w:w="1418"/>
        <w:gridCol w:w="1984"/>
      </w:tblGrid>
      <w:tr w14:paraId="5401B2F3">
        <w:tblPrEx>
          <w:tblCellMar>
            <w:top w:w="0" w:type="dxa"/>
            <w:left w:w="70" w:type="dxa"/>
            <w:bottom w:w="0" w:type="dxa"/>
            <w:right w:w="70" w:type="dxa"/>
          </w:tblCellMar>
        </w:tblPrEx>
        <w:trPr>
          <w:trHeight w:val="828" w:hRule="atLeast"/>
          <w:tblHeader/>
        </w:trPr>
        <w:tc>
          <w:tcPr>
            <w:tcW w:w="2398" w:type="dxa"/>
            <w:tcBorders>
              <w:top w:val="single" w:color="auto" w:sz="8" w:space="0"/>
              <w:left w:val="single" w:color="auto" w:sz="8" w:space="0"/>
              <w:bottom w:val="single" w:color="auto" w:sz="4" w:space="0"/>
              <w:right w:val="single" w:color="000000" w:sz="8" w:space="0"/>
            </w:tcBorders>
            <w:shd w:val="clear" w:color="auto" w:fill="00314C"/>
            <w:vAlign w:val="center"/>
          </w:tcPr>
          <w:p w14:paraId="7FDEDCBA">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pict>
                <v:rect id="_x0000_i1025" o:spt="1" style="height:1.5pt;width:0pt;" fillcolor="#A0A0A0" filled="t" stroked="f" coordsize="21600,21600" o:hr="t" o:hrstd="t" o:hralign="center">
                  <v:path/>
                  <v:fill on="t" focussize="0,0"/>
                  <v:stroke on="f"/>
                  <v:imagedata o:title=""/>
                  <o:lock v:ext="edit"/>
                  <w10:wrap type="none"/>
                  <w10:anchorlock/>
                </v:rect>
              </w:pict>
            </w:r>
          </w:p>
        </w:tc>
        <w:tc>
          <w:tcPr>
            <w:tcW w:w="1714" w:type="dxa"/>
            <w:tcBorders>
              <w:top w:val="single" w:color="auto" w:sz="8" w:space="0"/>
              <w:left w:val="single" w:color="000000" w:sz="8" w:space="0"/>
              <w:bottom w:val="single" w:color="auto" w:sz="4" w:space="0"/>
              <w:right w:val="single" w:color="000000" w:sz="8" w:space="0"/>
            </w:tcBorders>
            <w:shd w:val="clear" w:color="auto" w:fill="00314C"/>
            <w:vAlign w:val="center"/>
          </w:tcPr>
          <w:p w14:paraId="7FAF961B">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ATIVIDADE</w:t>
            </w:r>
          </w:p>
        </w:tc>
        <w:tc>
          <w:tcPr>
            <w:tcW w:w="1984" w:type="dxa"/>
            <w:tcBorders>
              <w:top w:val="single" w:color="auto" w:sz="8" w:space="0"/>
              <w:left w:val="single" w:color="000000" w:sz="8" w:space="0"/>
              <w:bottom w:val="single" w:color="auto" w:sz="4" w:space="0"/>
              <w:right w:val="single" w:color="000000" w:sz="8" w:space="0"/>
            </w:tcBorders>
            <w:shd w:val="clear" w:color="auto" w:fill="00314C"/>
            <w:vAlign w:val="center"/>
          </w:tcPr>
          <w:p w14:paraId="4E9CA4B6">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PUBLICO ALVO</w:t>
            </w:r>
          </w:p>
        </w:tc>
        <w:tc>
          <w:tcPr>
            <w:tcW w:w="1276" w:type="dxa"/>
            <w:tcBorders>
              <w:top w:val="single" w:color="auto" w:sz="8" w:space="0"/>
              <w:left w:val="single" w:color="000000" w:sz="8" w:space="0"/>
              <w:bottom w:val="single" w:color="auto" w:sz="4" w:space="0"/>
              <w:right w:val="single" w:color="000000" w:sz="8" w:space="0"/>
            </w:tcBorders>
            <w:shd w:val="clear" w:color="auto" w:fill="00314C"/>
            <w:vAlign w:val="center"/>
          </w:tcPr>
          <w:p w14:paraId="7B1EB0DC">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DATA</w:t>
            </w:r>
          </w:p>
        </w:tc>
        <w:tc>
          <w:tcPr>
            <w:tcW w:w="1418" w:type="dxa"/>
            <w:tcBorders>
              <w:top w:val="single" w:color="auto" w:sz="8" w:space="0"/>
              <w:left w:val="single" w:color="000000" w:sz="8" w:space="0"/>
              <w:bottom w:val="single" w:color="auto" w:sz="4" w:space="0"/>
              <w:right w:val="single" w:color="auto" w:sz="4" w:space="0"/>
            </w:tcBorders>
            <w:shd w:val="clear" w:color="auto" w:fill="00314C"/>
            <w:vAlign w:val="center"/>
          </w:tcPr>
          <w:p w14:paraId="0E5DA9E7">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PERIODO</w:t>
            </w:r>
          </w:p>
        </w:tc>
        <w:tc>
          <w:tcPr>
            <w:tcW w:w="1984" w:type="dxa"/>
            <w:tcBorders>
              <w:top w:val="single" w:color="auto" w:sz="4" w:space="0"/>
              <w:left w:val="single" w:color="auto" w:sz="4" w:space="0"/>
              <w:bottom w:val="single" w:color="auto" w:sz="4" w:space="0"/>
              <w:right w:val="single" w:color="auto" w:sz="4" w:space="0"/>
            </w:tcBorders>
            <w:shd w:val="clear" w:color="auto" w:fill="00314C"/>
            <w:vAlign w:val="center"/>
          </w:tcPr>
          <w:p w14:paraId="764C531D">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Cambria"/>
                <w:color w:val="FFFFFF" w:themeColor="background1"/>
                <w:lang w:eastAsia="pt-BR"/>
                <w14:textFill>
                  <w14:solidFill>
                    <w14:schemeClr w14:val="bg1"/>
                  </w14:solidFill>
                </w14:textFill>
              </w:rPr>
              <w:t>ORGANIZAÇÃO </w:t>
            </w:r>
          </w:p>
        </w:tc>
      </w:tr>
      <w:tr w14:paraId="1AA9D1F1">
        <w:tblPrEx>
          <w:tblCellMar>
            <w:top w:w="0" w:type="dxa"/>
            <w:left w:w="70" w:type="dxa"/>
            <w:bottom w:w="0" w:type="dxa"/>
            <w:right w:w="70" w:type="dxa"/>
          </w:tblCellMar>
        </w:tblPrEx>
        <w:trPr>
          <w:trHeight w:val="677"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2DDB3139">
            <w:pPr>
              <w:spacing w:after="0" w:line="240" w:lineRule="auto"/>
              <w:jc w:val="center"/>
              <w:rPr>
                <w:rFonts w:ascii="Arial" w:hAnsi="Arial" w:eastAsia="Times New Roman" w:cs="Arial"/>
                <w:color w:val="000000"/>
                <w:sz w:val="13"/>
                <w:szCs w:val="13"/>
                <w:lang w:eastAsia="pt-BR"/>
              </w:rPr>
            </w:pPr>
            <w:r>
              <w:rPr>
                <w:rFonts w:ascii="Arial" w:hAnsi="Arial" w:cs="Arial"/>
                <w:color w:val="000000"/>
                <w:sz w:val="16"/>
                <w:szCs w:val="16"/>
              </w:rPr>
              <w:t>DSS - HIGIENIZAÇÃO DAS MÃOS</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0C9581CD">
            <w:pPr>
              <w:spacing w:after="0" w:line="240" w:lineRule="auto"/>
              <w:jc w:val="center"/>
              <w:rPr>
                <w:rFonts w:ascii="Arial" w:hAnsi="Arial" w:eastAsia="Times New Roman" w:cs="Arial"/>
                <w:color w:val="000000"/>
                <w:sz w:val="13"/>
                <w:szCs w:val="13"/>
                <w:lang w:eastAsia="pt-BR"/>
              </w:rPr>
            </w:pPr>
            <w:r>
              <w:rPr>
                <w:rFonts w:ascii="Arial" w:hAnsi="Arial" w:cs="Arial"/>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57B78FC0">
            <w:pPr>
              <w:spacing w:after="0" w:line="240" w:lineRule="auto"/>
              <w:jc w:val="center"/>
              <w:rPr>
                <w:rFonts w:ascii="Arial" w:hAnsi="Arial" w:eastAsia="Times New Roman" w:cs="Arial"/>
                <w:color w:val="000000"/>
                <w:sz w:val="13"/>
                <w:szCs w:val="13"/>
                <w:lang w:eastAsia="pt-BR"/>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61458FB2">
            <w:pPr>
              <w:spacing w:after="0" w:line="240" w:lineRule="auto"/>
              <w:jc w:val="center"/>
              <w:rPr>
                <w:rFonts w:ascii="Arial" w:hAnsi="Arial" w:eastAsia="Times New Roman" w:cs="Arial"/>
                <w:color w:val="000000"/>
                <w:sz w:val="13"/>
                <w:szCs w:val="13"/>
                <w:lang w:eastAsia="pt-BR"/>
              </w:rPr>
            </w:pPr>
            <w:r>
              <w:rPr>
                <w:rFonts w:ascii="Arial" w:hAnsi="Arial" w:cs="Arial"/>
                <w:color w:val="000000"/>
                <w:sz w:val="16"/>
                <w:szCs w:val="16"/>
              </w:rPr>
              <w:t>05/05/2025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79797C82">
            <w:pPr>
              <w:jc w:val="center"/>
              <w:rPr>
                <w:rFonts w:ascii="Arial" w:hAnsi="Arial" w:eastAsia="Times New Roman" w:cs="Arial"/>
                <w:color w:val="000000"/>
                <w:sz w:val="13"/>
                <w:szCs w:val="13"/>
                <w:lang w:eastAsia="pt-BR"/>
              </w:rPr>
            </w:pPr>
            <w:r>
              <w:rPr>
                <w:rFonts w:ascii="Arial" w:hAnsi="Arial" w:cs="Arial"/>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361EA110">
            <w:pPr>
              <w:spacing w:after="0" w:line="240" w:lineRule="auto"/>
              <w:jc w:val="center"/>
              <w:rPr>
                <w:rFonts w:ascii="Arial" w:hAnsi="Arial" w:eastAsia="Times New Roman" w:cs="Arial"/>
                <w:color w:val="000000"/>
                <w:sz w:val="13"/>
                <w:szCs w:val="13"/>
                <w:lang w:eastAsia="pt-BR"/>
              </w:rPr>
            </w:pPr>
            <w:r>
              <w:rPr>
                <w:rFonts w:ascii="Arial" w:hAnsi="Arial" w:cs="Arial"/>
                <w:color w:val="000000"/>
                <w:sz w:val="16"/>
                <w:szCs w:val="16"/>
              </w:rPr>
              <w:t>SCIRAS</w:t>
            </w:r>
          </w:p>
        </w:tc>
      </w:tr>
      <w:tr w14:paraId="7F03AACB">
        <w:tblPrEx>
          <w:tblCellMar>
            <w:top w:w="0" w:type="dxa"/>
            <w:left w:w="70" w:type="dxa"/>
            <w:bottom w:w="0" w:type="dxa"/>
            <w:right w:w="70" w:type="dxa"/>
          </w:tblCellMar>
        </w:tblPrEx>
        <w:trPr>
          <w:trHeight w:val="839"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03642EBF">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INTEGRAÇÃO</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487D5D6D">
            <w:pPr>
              <w:spacing w:after="0" w:line="240" w:lineRule="auto"/>
              <w:jc w:val="center"/>
              <w:rPr>
                <w:rFonts w:ascii="Arial" w:hAnsi="Arial" w:eastAsia="Times New Roman" w:cs="Arial"/>
                <w:color w:val="000000"/>
                <w:sz w:val="16"/>
                <w:szCs w:val="16"/>
                <w:lang w:eastAsia="pt-BR"/>
              </w:rPr>
            </w:pPr>
            <w:r>
              <w:rPr>
                <w:rFonts w:ascii="Arial" w:hAnsi="Arial" w:cs="Arial"/>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5E3E2D9E">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0A5617A4">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05/05/2025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69C20E11">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DE MANHÃ</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52468F30">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SETORES</w:t>
            </w:r>
          </w:p>
        </w:tc>
      </w:tr>
      <w:tr w14:paraId="4B27FF3D">
        <w:tblPrEx>
          <w:tblCellMar>
            <w:top w:w="0" w:type="dxa"/>
            <w:left w:w="70" w:type="dxa"/>
            <w:bottom w:w="0" w:type="dxa"/>
            <w:right w:w="70" w:type="dxa"/>
          </w:tblCellMar>
        </w:tblPrEx>
        <w:trPr>
          <w:trHeight w:val="636"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6DA24A2B">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GINÁSTICA LABORAL</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75C5E1AD">
            <w:pPr>
              <w:spacing w:after="0" w:line="240" w:lineRule="auto"/>
              <w:jc w:val="center"/>
              <w:rPr>
                <w:rFonts w:ascii="Arial" w:hAnsi="Arial" w:eastAsia="Times New Roman" w:cs="Arial"/>
                <w:color w:val="000000"/>
                <w:sz w:val="16"/>
                <w:szCs w:val="16"/>
                <w:lang w:eastAsia="pt-BR"/>
              </w:rPr>
            </w:pPr>
            <w:r>
              <w:rPr>
                <w:rFonts w:ascii="Arial" w:hAnsi="Arial" w:cs="Arial"/>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5A67325E">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08D95417">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07/05/2025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71FD7724">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12A7BACE">
            <w:pPr>
              <w:jc w:val="center"/>
              <w:rPr>
                <w:rFonts w:ascii="Arial" w:hAnsi="Arial" w:eastAsia="Times New Roman" w:cs="Arial"/>
                <w:color w:val="000000"/>
                <w:sz w:val="16"/>
                <w:szCs w:val="16"/>
                <w:lang w:eastAsia="pt-BR"/>
              </w:rPr>
            </w:pPr>
            <w:r>
              <w:rPr>
                <w:rFonts w:ascii="Arial" w:hAnsi="Arial" w:cs="Arial"/>
                <w:color w:val="000000"/>
                <w:sz w:val="16"/>
                <w:szCs w:val="16"/>
              </w:rPr>
              <w:t>SESMT</w:t>
            </w:r>
          </w:p>
        </w:tc>
      </w:tr>
      <w:tr w14:paraId="76964962">
        <w:tblPrEx>
          <w:tblCellMar>
            <w:top w:w="0" w:type="dxa"/>
            <w:left w:w="70" w:type="dxa"/>
            <w:bottom w:w="0" w:type="dxa"/>
            <w:right w:w="70" w:type="dxa"/>
          </w:tblCellMar>
        </w:tblPrEx>
        <w:trPr>
          <w:trHeight w:val="699"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31EDA337">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ESPECIAL DIAS DAS MÃES</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75C2D664">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498204F5">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13FC56C1">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08/05/2025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6438E1C8">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DE TARDE</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630DDDC0">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SESMT/NEPE</w:t>
            </w:r>
          </w:p>
        </w:tc>
      </w:tr>
      <w:tr w14:paraId="1083ADA6">
        <w:tblPrEx>
          <w:tblCellMar>
            <w:top w:w="0" w:type="dxa"/>
            <w:left w:w="70" w:type="dxa"/>
            <w:bottom w:w="0" w:type="dxa"/>
            <w:right w:w="70" w:type="dxa"/>
          </w:tblCellMar>
        </w:tblPrEx>
        <w:trPr>
          <w:trHeight w:val="649"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2E074532">
            <w:pPr>
              <w:jc w:val="center"/>
              <w:rPr>
                <w:rFonts w:ascii="Arial" w:hAnsi="Arial" w:cs="Arial"/>
                <w:color w:val="000000"/>
                <w:sz w:val="16"/>
                <w:szCs w:val="16"/>
              </w:rPr>
            </w:pPr>
            <w:r>
              <w:rPr>
                <w:rFonts w:ascii="Arial" w:hAnsi="Arial" w:cs="Arial"/>
                <w:color w:val="000000"/>
                <w:sz w:val="16"/>
                <w:szCs w:val="16"/>
              </w:rPr>
              <w:t>GINÁSTICA LABORAL</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2FC2524B">
            <w:pPr>
              <w:spacing w:after="0" w:line="240" w:lineRule="auto"/>
              <w:jc w:val="center"/>
              <w:rPr>
                <w:rFonts w:ascii="Arial" w:hAnsi="Arial" w:eastAsia="Times New Roman" w:cs="Arial"/>
                <w:color w:val="000000"/>
                <w:sz w:val="16"/>
                <w:szCs w:val="16"/>
                <w:lang w:eastAsia="pt-BR"/>
              </w:rPr>
            </w:pPr>
            <w:r>
              <w:rPr>
                <w:rFonts w:ascii="Arial" w:hAnsi="Arial" w:cs="Arial"/>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286CCA48">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5805B13A">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09/05/2025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2F087D91">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70AEAFE8">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SESMT</w:t>
            </w:r>
          </w:p>
        </w:tc>
      </w:tr>
      <w:tr w14:paraId="3C17AF7B">
        <w:tblPrEx>
          <w:tblCellMar>
            <w:top w:w="0" w:type="dxa"/>
            <w:left w:w="70" w:type="dxa"/>
            <w:bottom w:w="0" w:type="dxa"/>
            <w:right w:w="70" w:type="dxa"/>
          </w:tblCellMar>
        </w:tblPrEx>
        <w:trPr>
          <w:trHeight w:val="649"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48633635">
            <w:pPr>
              <w:jc w:val="center"/>
              <w:rPr>
                <w:rFonts w:ascii="Arial" w:hAnsi="Arial" w:cs="Arial"/>
                <w:color w:val="000000"/>
                <w:sz w:val="16"/>
                <w:szCs w:val="16"/>
              </w:rPr>
            </w:pPr>
            <w:r>
              <w:rPr>
                <w:rFonts w:ascii="Arial" w:hAnsi="Arial" w:cs="Arial"/>
                <w:color w:val="000000"/>
                <w:sz w:val="15"/>
                <w:szCs w:val="15"/>
              </w:rPr>
              <w:t>DSS - DIA NACIONAL SOBRE O USO RACIONAL DE MEDICAMENTOS</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1C991E98">
            <w:pPr>
              <w:spacing w:after="0" w:line="240" w:lineRule="auto"/>
              <w:jc w:val="center"/>
              <w:rPr>
                <w:rFonts w:ascii="Arial" w:hAnsi="Arial" w:eastAsia="Times New Roman" w:cs="Arial"/>
                <w:color w:val="000000"/>
                <w:sz w:val="16"/>
                <w:szCs w:val="16"/>
                <w:lang w:eastAsia="pt-BR"/>
              </w:rPr>
            </w:pPr>
            <w:r>
              <w:rPr>
                <w:rFonts w:ascii="Arial" w:hAnsi="Arial" w:cs="Arial"/>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466400CA">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2DCA0243">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12/05/2025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709E6BB5">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7ECBE992">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SESMT</w:t>
            </w:r>
          </w:p>
        </w:tc>
      </w:tr>
      <w:tr w14:paraId="0F9EC0CE">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4A9487B8">
            <w:pPr>
              <w:jc w:val="center"/>
              <w:rPr>
                <w:rFonts w:ascii="Arial" w:hAnsi="Arial" w:cs="Arial"/>
                <w:sz w:val="16"/>
                <w:szCs w:val="16"/>
              </w:rPr>
            </w:pPr>
            <w:r>
              <w:rPr>
                <w:rFonts w:ascii="Arial" w:hAnsi="Arial" w:cs="Arial"/>
                <w:color w:val="000000"/>
                <w:sz w:val="15"/>
                <w:szCs w:val="15"/>
              </w:rPr>
              <w:t>SEMANA DE ENFERMAGEM 12 A 15 DE MAIO DE 2025</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3A624CD2">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63386771">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55F3EDFC">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12/05/2025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53087A5C">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7EC306D1">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ENFERMAGEM</w:t>
            </w:r>
          </w:p>
        </w:tc>
      </w:tr>
      <w:tr w14:paraId="3FD373F5">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009FAF9B">
            <w:pPr>
              <w:jc w:val="center"/>
              <w:rPr>
                <w:rFonts w:ascii="Arial" w:hAnsi="Arial" w:cs="Arial"/>
                <w:sz w:val="16"/>
                <w:szCs w:val="16"/>
              </w:rPr>
            </w:pPr>
            <w:r>
              <w:rPr>
                <w:rFonts w:ascii="Arial" w:hAnsi="Arial" w:cs="Arial"/>
                <w:color w:val="000000"/>
                <w:sz w:val="16"/>
                <w:szCs w:val="16"/>
              </w:rPr>
              <w:t>GINÁSTICA LABORAL</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13429BE5">
            <w:pPr>
              <w:spacing w:after="0" w:line="240" w:lineRule="auto"/>
              <w:jc w:val="center"/>
              <w:rPr>
                <w:rFonts w:ascii="Arial" w:hAnsi="Arial" w:eastAsia="Times New Roman" w:cs="Arial"/>
                <w:color w:val="000000"/>
                <w:sz w:val="16"/>
                <w:szCs w:val="16"/>
                <w:lang w:eastAsia="pt-BR"/>
              </w:rPr>
            </w:pPr>
            <w:r>
              <w:rPr>
                <w:rFonts w:ascii="Arial" w:hAnsi="Arial" w:cs="Arial"/>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10857216">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11F891A0">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14/05/2025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2EAEB43B">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45323787">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SESMT</w:t>
            </w:r>
          </w:p>
        </w:tc>
      </w:tr>
      <w:tr w14:paraId="6C90F1A1">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67F81EDF">
            <w:pPr>
              <w:jc w:val="center"/>
              <w:rPr>
                <w:rFonts w:ascii="Arial" w:hAnsi="Arial" w:cs="Arial"/>
                <w:sz w:val="16"/>
                <w:szCs w:val="16"/>
              </w:rPr>
            </w:pPr>
            <w:r>
              <w:rPr>
                <w:rFonts w:ascii="Arial" w:hAnsi="Arial" w:cs="Arial"/>
                <w:color w:val="000000"/>
                <w:sz w:val="15"/>
                <w:szCs w:val="15"/>
              </w:rPr>
              <w:t>TREINAMENTO: FERRAMENTAS DE GESTÃO PARA LIDERES</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300B43CE">
            <w:pPr>
              <w:spacing w:after="0" w:line="240" w:lineRule="auto"/>
              <w:jc w:val="center"/>
              <w:rPr>
                <w:rFonts w:ascii="Arial" w:hAnsi="Arial" w:eastAsia="Times New Roman" w:cs="Arial"/>
                <w:color w:val="000000"/>
                <w:sz w:val="16"/>
                <w:szCs w:val="16"/>
                <w:lang w:eastAsia="pt-BR"/>
              </w:rPr>
            </w:pPr>
            <w:r>
              <w:rPr>
                <w:rFonts w:ascii="Arial" w:hAnsi="Arial" w:cs="Arial"/>
                <w:sz w:val="16"/>
                <w:szCs w:val="16"/>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01F338D3">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08BA4D32">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15/05/2025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354C52CF">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51C4F02A">
            <w:pPr>
              <w:spacing w:after="0" w:line="240" w:lineRule="auto"/>
              <w:jc w:val="center"/>
              <w:rPr>
                <w:rFonts w:ascii="Arial" w:hAnsi="Arial" w:eastAsia="Times New Roman" w:cs="Arial"/>
                <w:color w:val="000000"/>
                <w:sz w:val="16"/>
                <w:szCs w:val="16"/>
                <w:lang w:eastAsia="pt-BR"/>
              </w:rPr>
            </w:pPr>
            <w:r>
              <w:rPr>
                <w:rFonts w:ascii="Arial" w:hAnsi="Arial" w:cs="Arial"/>
                <w:color w:val="000000"/>
                <w:sz w:val="16"/>
                <w:szCs w:val="16"/>
              </w:rPr>
              <w:t>DIRETOR ADM</w:t>
            </w:r>
          </w:p>
        </w:tc>
      </w:tr>
      <w:tr w14:paraId="59065D08">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508CCBC7">
            <w:pPr>
              <w:jc w:val="center"/>
              <w:rPr>
                <w:rFonts w:ascii="Arial" w:hAnsi="Arial" w:cs="Arial"/>
                <w:color w:val="000000"/>
                <w:sz w:val="16"/>
                <w:szCs w:val="16"/>
              </w:rPr>
            </w:pPr>
            <w:r>
              <w:rPr>
                <w:rFonts w:ascii="Arial" w:hAnsi="Arial" w:cs="Arial"/>
                <w:color w:val="000000"/>
                <w:sz w:val="16"/>
                <w:szCs w:val="16"/>
              </w:rPr>
              <w:t>GINÁSTICA LABORAL</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44726031">
            <w:pPr>
              <w:spacing w:after="0" w:line="240" w:lineRule="auto"/>
              <w:jc w:val="center"/>
              <w:rPr>
                <w:rFonts w:ascii="Arial" w:hAnsi="Arial" w:cs="Arial"/>
                <w:sz w:val="16"/>
                <w:szCs w:val="16"/>
              </w:rPr>
            </w:pPr>
            <w:r>
              <w:rPr>
                <w:rFonts w:ascii="Arial" w:hAnsi="Arial" w:cs="Arial"/>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72E11BE7">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40F86088">
            <w:pPr>
              <w:spacing w:after="0" w:line="240" w:lineRule="auto"/>
              <w:jc w:val="center"/>
              <w:rPr>
                <w:rFonts w:ascii="Arial" w:hAnsi="Arial" w:cs="Arial"/>
                <w:color w:val="000000"/>
                <w:sz w:val="16"/>
                <w:szCs w:val="16"/>
              </w:rPr>
            </w:pPr>
            <w:r>
              <w:rPr>
                <w:rFonts w:ascii="Arial" w:hAnsi="Arial" w:cs="Arial"/>
                <w:color w:val="000000"/>
                <w:sz w:val="16"/>
                <w:szCs w:val="16"/>
              </w:rPr>
              <w:t>16/05/2025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139C25BD">
            <w:pPr>
              <w:spacing w:after="0" w:line="240" w:lineRule="auto"/>
              <w:jc w:val="center"/>
              <w:rPr>
                <w:rFonts w:ascii="Arial" w:hAnsi="Arial" w:cs="Arial"/>
                <w:color w:val="000000"/>
                <w:sz w:val="16"/>
                <w:szCs w:val="16"/>
              </w:rPr>
            </w:pPr>
            <w:r>
              <w:rPr>
                <w:rFonts w:ascii="Arial" w:hAnsi="Arial" w:cs="Arial"/>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68607F73">
            <w:pPr>
              <w:spacing w:after="0" w:line="240" w:lineRule="auto"/>
              <w:jc w:val="center"/>
              <w:rPr>
                <w:rFonts w:ascii="Arial" w:hAnsi="Arial" w:cs="Arial"/>
                <w:color w:val="000000"/>
                <w:sz w:val="16"/>
                <w:szCs w:val="16"/>
              </w:rPr>
            </w:pPr>
            <w:r>
              <w:rPr>
                <w:rFonts w:ascii="Arial" w:hAnsi="Arial" w:cs="Arial"/>
                <w:color w:val="000000"/>
                <w:sz w:val="16"/>
                <w:szCs w:val="16"/>
              </w:rPr>
              <w:t>SESMT</w:t>
            </w:r>
          </w:p>
        </w:tc>
      </w:tr>
      <w:tr w14:paraId="12BCB59D">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1875EFAC">
            <w:pPr>
              <w:jc w:val="center"/>
              <w:rPr>
                <w:rFonts w:ascii="Arial" w:hAnsi="Arial" w:cs="Arial"/>
                <w:color w:val="000000"/>
                <w:sz w:val="16"/>
                <w:szCs w:val="16"/>
              </w:rPr>
            </w:pPr>
            <w:r>
              <w:rPr>
                <w:rFonts w:ascii="Arial" w:hAnsi="Arial" w:cs="Arial"/>
                <w:color w:val="000000"/>
                <w:sz w:val="15"/>
                <w:szCs w:val="15"/>
              </w:rPr>
              <w:t>DSS - ASSEGURAR CIRURGIA EM LOCAL DE INTERVENÇÃO, PROCEDIMENTO E PACIENTE CORRETOS</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7F784ED4">
            <w:pPr>
              <w:spacing w:after="0" w:line="240" w:lineRule="auto"/>
              <w:jc w:val="center"/>
              <w:rPr>
                <w:rFonts w:ascii="Arial" w:hAnsi="Arial" w:cs="Arial"/>
                <w:sz w:val="16"/>
                <w:szCs w:val="16"/>
              </w:rPr>
            </w:pPr>
            <w:r>
              <w:rPr>
                <w:rFonts w:ascii="Arial" w:hAnsi="Arial" w:cs="Arial"/>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457527CE">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3A84EF5D">
            <w:pPr>
              <w:spacing w:after="0" w:line="240" w:lineRule="auto"/>
              <w:jc w:val="center"/>
              <w:rPr>
                <w:rFonts w:ascii="Arial" w:hAnsi="Arial" w:cs="Arial"/>
                <w:color w:val="000000"/>
                <w:sz w:val="16"/>
                <w:szCs w:val="16"/>
              </w:rPr>
            </w:pPr>
            <w:r>
              <w:rPr>
                <w:rFonts w:ascii="Arial" w:hAnsi="Arial" w:cs="Arial"/>
                <w:color w:val="000000"/>
                <w:sz w:val="16"/>
                <w:szCs w:val="16"/>
              </w:rPr>
              <w:t>19/05/2025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18DFA159">
            <w:pPr>
              <w:spacing w:after="0" w:line="240" w:lineRule="auto"/>
              <w:jc w:val="center"/>
              <w:rPr>
                <w:rFonts w:ascii="Arial" w:hAnsi="Arial" w:cs="Arial"/>
                <w:color w:val="000000"/>
                <w:sz w:val="16"/>
                <w:szCs w:val="16"/>
              </w:rPr>
            </w:pPr>
            <w:r>
              <w:rPr>
                <w:rFonts w:ascii="Arial" w:hAnsi="Arial" w:cs="Arial"/>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563D8FA6">
            <w:pPr>
              <w:spacing w:after="0" w:line="240" w:lineRule="auto"/>
              <w:jc w:val="center"/>
              <w:rPr>
                <w:rFonts w:ascii="Arial" w:hAnsi="Arial" w:cs="Arial"/>
                <w:color w:val="000000"/>
                <w:sz w:val="16"/>
                <w:szCs w:val="16"/>
              </w:rPr>
            </w:pPr>
            <w:r>
              <w:rPr>
                <w:rFonts w:ascii="Arial" w:hAnsi="Arial" w:cs="Arial"/>
                <w:color w:val="000000"/>
                <w:sz w:val="16"/>
                <w:szCs w:val="16"/>
              </w:rPr>
              <w:t>CIPA</w:t>
            </w:r>
          </w:p>
        </w:tc>
      </w:tr>
      <w:tr w14:paraId="68E4E884">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4BCDB142">
            <w:pPr>
              <w:jc w:val="center"/>
              <w:rPr>
                <w:rFonts w:ascii="Arial" w:hAnsi="Arial" w:cs="Arial"/>
                <w:color w:val="000000"/>
                <w:sz w:val="16"/>
                <w:szCs w:val="16"/>
              </w:rPr>
            </w:pPr>
            <w:r>
              <w:rPr>
                <w:rFonts w:ascii="Arial" w:hAnsi="Arial" w:cs="Arial"/>
                <w:color w:val="000000"/>
                <w:sz w:val="13"/>
                <w:szCs w:val="13"/>
              </w:rPr>
              <w:t>REUNIÃO COM A EQUIPE DE ENFERMAGEM DO AMBULATÓRIO</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2D161468">
            <w:pPr>
              <w:spacing w:after="0" w:line="240" w:lineRule="auto"/>
              <w:jc w:val="center"/>
              <w:rPr>
                <w:rFonts w:ascii="Arial" w:hAnsi="Arial" w:cs="Arial"/>
                <w:sz w:val="16"/>
                <w:szCs w:val="16"/>
              </w:rPr>
            </w:pPr>
            <w:r>
              <w:rPr>
                <w:rFonts w:ascii="Arial" w:hAnsi="Arial" w:cs="Arial"/>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4319B50B">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4C4349FA">
            <w:pPr>
              <w:spacing w:after="0" w:line="240" w:lineRule="auto"/>
              <w:jc w:val="center"/>
              <w:rPr>
                <w:rFonts w:ascii="Arial" w:hAnsi="Arial" w:cs="Arial"/>
                <w:color w:val="000000"/>
                <w:sz w:val="16"/>
                <w:szCs w:val="16"/>
              </w:rPr>
            </w:pPr>
            <w:r>
              <w:rPr>
                <w:rFonts w:ascii="Arial" w:hAnsi="Arial" w:cs="Arial"/>
                <w:color w:val="000000"/>
                <w:sz w:val="16"/>
                <w:szCs w:val="16"/>
              </w:rPr>
              <w:t>19/05/2025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4C79D3A3">
            <w:pPr>
              <w:spacing w:after="0" w:line="240" w:lineRule="auto"/>
              <w:jc w:val="center"/>
              <w:rPr>
                <w:rFonts w:ascii="Arial" w:hAnsi="Arial" w:cs="Arial"/>
                <w:color w:val="000000"/>
                <w:sz w:val="16"/>
                <w:szCs w:val="16"/>
              </w:rPr>
            </w:pPr>
            <w:r>
              <w:rPr>
                <w:rFonts w:ascii="Arial" w:hAnsi="Arial" w:cs="Arial"/>
                <w:color w:val="000000"/>
                <w:sz w:val="16"/>
                <w:szCs w:val="16"/>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78B8E98E">
            <w:pPr>
              <w:spacing w:after="0" w:line="240" w:lineRule="auto"/>
              <w:jc w:val="center"/>
              <w:rPr>
                <w:rFonts w:ascii="Arial" w:hAnsi="Arial" w:cs="Arial"/>
                <w:color w:val="000000"/>
                <w:sz w:val="16"/>
                <w:szCs w:val="16"/>
              </w:rPr>
            </w:pPr>
            <w:r>
              <w:rPr>
                <w:rFonts w:ascii="Arial" w:hAnsi="Arial" w:cs="Arial"/>
                <w:color w:val="000000"/>
                <w:sz w:val="16"/>
                <w:szCs w:val="16"/>
              </w:rPr>
              <w:t>ENFERMAGEM</w:t>
            </w:r>
          </w:p>
        </w:tc>
      </w:tr>
      <w:tr w14:paraId="28CC8C5F">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7B0A2A1E">
            <w:pPr>
              <w:jc w:val="center"/>
              <w:rPr>
                <w:rFonts w:ascii="Arial" w:hAnsi="Arial" w:cs="Arial"/>
                <w:color w:val="000000"/>
                <w:sz w:val="16"/>
                <w:szCs w:val="16"/>
              </w:rPr>
            </w:pPr>
            <w:r>
              <w:rPr>
                <w:rFonts w:ascii="Arial" w:hAnsi="Arial" w:cs="Arial"/>
                <w:color w:val="000000"/>
                <w:sz w:val="15"/>
                <w:szCs w:val="15"/>
              </w:rPr>
              <w:t>REUNIÃO COM A LIDERANÇA PARA TRATAR DAS FERRAMENTAS DE GESTÃO</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4FFEAAB2">
            <w:pPr>
              <w:spacing w:after="0" w:line="240" w:lineRule="auto"/>
              <w:jc w:val="center"/>
              <w:rPr>
                <w:rFonts w:ascii="Arial" w:hAnsi="Arial" w:cs="Arial"/>
                <w:sz w:val="16"/>
                <w:szCs w:val="16"/>
              </w:rPr>
            </w:pPr>
            <w:r>
              <w:rPr>
                <w:rFonts w:ascii="Arial" w:hAnsi="Arial" w:cs="Arial"/>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77E75AC8">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0192AEFC">
            <w:pPr>
              <w:spacing w:after="0" w:line="240" w:lineRule="auto"/>
              <w:jc w:val="center"/>
              <w:rPr>
                <w:rFonts w:ascii="Arial" w:hAnsi="Arial" w:cs="Arial"/>
                <w:color w:val="000000"/>
                <w:sz w:val="16"/>
                <w:szCs w:val="16"/>
              </w:rPr>
            </w:pPr>
            <w:r>
              <w:rPr>
                <w:rFonts w:ascii="Arial" w:hAnsi="Arial" w:cs="Arial"/>
                <w:color w:val="000000"/>
                <w:sz w:val="16"/>
                <w:szCs w:val="16"/>
              </w:rPr>
              <w:t>21/05/2025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734FA4A1">
            <w:pPr>
              <w:spacing w:after="0" w:line="240" w:lineRule="auto"/>
              <w:jc w:val="center"/>
              <w:rPr>
                <w:rFonts w:ascii="Arial" w:hAnsi="Arial" w:cs="Arial"/>
                <w:color w:val="000000"/>
                <w:sz w:val="16"/>
                <w:szCs w:val="16"/>
              </w:rPr>
            </w:pPr>
            <w:r>
              <w:rPr>
                <w:rFonts w:ascii="Arial" w:hAnsi="Arial" w:cs="Arial"/>
                <w:color w:val="000000"/>
                <w:sz w:val="16"/>
                <w:szCs w:val="16"/>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516B9F56">
            <w:pPr>
              <w:spacing w:after="0" w:line="240" w:lineRule="auto"/>
              <w:jc w:val="center"/>
              <w:rPr>
                <w:rFonts w:ascii="Arial" w:hAnsi="Arial" w:cs="Arial"/>
                <w:color w:val="000000"/>
                <w:sz w:val="16"/>
                <w:szCs w:val="16"/>
              </w:rPr>
            </w:pPr>
            <w:r>
              <w:rPr>
                <w:rFonts w:ascii="Arial" w:hAnsi="Arial" w:cs="Arial"/>
                <w:color w:val="000000"/>
                <w:sz w:val="16"/>
                <w:szCs w:val="16"/>
              </w:rPr>
              <w:t>DIRETOR ADM</w:t>
            </w:r>
          </w:p>
        </w:tc>
      </w:tr>
      <w:tr w14:paraId="147AD44C">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3A9061A2">
            <w:pPr>
              <w:jc w:val="center"/>
              <w:rPr>
                <w:rFonts w:ascii="Arial" w:hAnsi="Arial" w:cs="Arial"/>
                <w:color w:val="000000"/>
                <w:sz w:val="16"/>
                <w:szCs w:val="16"/>
              </w:rPr>
            </w:pPr>
            <w:r>
              <w:rPr>
                <w:rFonts w:ascii="Arial" w:hAnsi="Arial" w:cs="Arial"/>
                <w:color w:val="000000"/>
                <w:sz w:val="16"/>
                <w:szCs w:val="16"/>
              </w:rPr>
              <w:t>GINÁSTICA LABORAL</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4FFE4C88">
            <w:pPr>
              <w:spacing w:after="0" w:line="240" w:lineRule="auto"/>
              <w:jc w:val="center"/>
              <w:rPr>
                <w:rFonts w:ascii="Arial" w:hAnsi="Arial" w:cs="Arial"/>
                <w:sz w:val="16"/>
                <w:szCs w:val="16"/>
              </w:rPr>
            </w:pPr>
            <w:r>
              <w:rPr>
                <w:rFonts w:ascii="Arial" w:hAnsi="Arial" w:cs="Arial"/>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69CADE96">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26CA10E3">
            <w:pPr>
              <w:spacing w:after="0" w:line="240" w:lineRule="auto"/>
              <w:jc w:val="center"/>
              <w:rPr>
                <w:rFonts w:ascii="Arial" w:hAnsi="Arial" w:cs="Arial"/>
                <w:color w:val="000000"/>
                <w:sz w:val="16"/>
                <w:szCs w:val="16"/>
              </w:rPr>
            </w:pPr>
            <w:r>
              <w:rPr>
                <w:rFonts w:ascii="Arial" w:hAnsi="Arial" w:cs="Arial"/>
                <w:color w:val="000000"/>
                <w:sz w:val="16"/>
                <w:szCs w:val="16"/>
              </w:rPr>
              <w:t>21/05/2025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30F699A0">
            <w:pPr>
              <w:spacing w:after="0" w:line="240" w:lineRule="auto"/>
              <w:jc w:val="center"/>
              <w:rPr>
                <w:rFonts w:ascii="Arial" w:hAnsi="Arial" w:cs="Arial"/>
                <w:color w:val="000000"/>
                <w:sz w:val="16"/>
                <w:szCs w:val="16"/>
              </w:rPr>
            </w:pPr>
            <w:r>
              <w:rPr>
                <w:rFonts w:ascii="Arial" w:hAnsi="Arial" w:cs="Arial"/>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7F705BB3">
            <w:pPr>
              <w:spacing w:after="0" w:line="240" w:lineRule="auto"/>
              <w:jc w:val="center"/>
              <w:rPr>
                <w:rFonts w:ascii="Arial" w:hAnsi="Arial" w:cs="Arial"/>
                <w:color w:val="000000"/>
                <w:sz w:val="16"/>
                <w:szCs w:val="16"/>
              </w:rPr>
            </w:pPr>
            <w:r>
              <w:rPr>
                <w:rFonts w:ascii="Arial" w:hAnsi="Arial" w:cs="Arial"/>
                <w:color w:val="000000"/>
                <w:sz w:val="16"/>
                <w:szCs w:val="16"/>
              </w:rPr>
              <w:t>SESMT</w:t>
            </w:r>
          </w:p>
        </w:tc>
      </w:tr>
      <w:tr w14:paraId="65ED9483">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027E92F4">
            <w:pPr>
              <w:jc w:val="center"/>
              <w:rPr>
                <w:rFonts w:ascii="Arial" w:hAnsi="Arial" w:cs="Arial"/>
                <w:color w:val="000000"/>
                <w:sz w:val="16"/>
                <w:szCs w:val="16"/>
              </w:rPr>
            </w:pPr>
            <w:r>
              <w:rPr>
                <w:rFonts w:ascii="Arial" w:hAnsi="Arial" w:cs="Arial"/>
                <w:color w:val="000000"/>
                <w:sz w:val="16"/>
                <w:szCs w:val="16"/>
              </w:rPr>
              <w:t>DIA MUNDIAL DA HIPERTENSÃO ARTERIAL</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4CD8481F">
            <w:pPr>
              <w:spacing w:after="0" w:line="240" w:lineRule="auto"/>
              <w:jc w:val="center"/>
              <w:rPr>
                <w:rFonts w:ascii="Arial" w:hAnsi="Arial" w:cs="Arial"/>
                <w:sz w:val="16"/>
                <w:szCs w:val="16"/>
              </w:rPr>
            </w:pPr>
            <w:r>
              <w:rPr>
                <w:rFonts w:ascii="Arial" w:hAnsi="Arial" w:cs="Arial"/>
                <w:color w:val="000000"/>
                <w:sz w:val="16"/>
                <w:szCs w:val="16"/>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2053B0EC">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45B7082E">
            <w:pPr>
              <w:spacing w:after="0" w:line="240" w:lineRule="auto"/>
              <w:jc w:val="center"/>
              <w:rPr>
                <w:rFonts w:ascii="Arial" w:hAnsi="Arial" w:cs="Arial"/>
                <w:color w:val="000000"/>
                <w:sz w:val="16"/>
                <w:szCs w:val="16"/>
              </w:rPr>
            </w:pPr>
            <w:r>
              <w:rPr>
                <w:rFonts w:ascii="Arial" w:hAnsi="Arial" w:cs="Arial"/>
                <w:color w:val="000000"/>
                <w:sz w:val="16"/>
                <w:szCs w:val="16"/>
              </w:rPr>
              <w:t>23/05/2025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19C19A44">
            <w:pPr>
              <w:spacing w:after="0" w:line="240" w:lineRule="auto"/>
              <w:jc w:val="center"/>
              <w:rPr>
                <w:rFonts w:ascii="Arial" w:hAnsi="Arial" w:cs="Arial"/>
                <w:color w:val="000000"/>
                <w:sz w:val="16"/>
                <w:szCs w:val="16"/>
              </w:rPr>
            </w:pPr>
            <w:r>
              <w:rPr>
                <w:rFonts w:ascii="Arial" w:hAnsi="Arial" w:cs="Arial"/>
                <w:color w:val="000000"/>
                <w:sz w:val="16"/>
                <w:szCs w:val="16"/>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3347D61B">
            <w:pPr>
              <w:spacing w:after="0" w:line="240" w:lineRule="auto"/>
              <w:jc w:val="center"/>
              <w:rPr>
                <w:rFonts w:ascii="Arial" w:hAnsi="Arial" w:cs="Arial"/>
                <w:color w:val="000000"/>
                <w:sz w:val="16"/>
                <w:szCs w:val="16"/>
              </w:rPr>
            </w:pPr>
            <w:r>
              <w:rPr>
                <w:rFonts w:ascii="Arial" w:hAnsi="Arial" w:cs="Arial"/>
                <w:color w:val="000000"/>
                <w:sz w:val="16"/>
                <w:szCs w:val="16"/>
              </w:rPr>
              <w:t>NEPE</w:t>
            </w:r>
          </w:p>
        </w:tc>
      </w:tr>
      <w:tr w14:paraId="3944C13C">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54A03123">
            <w:pPr>
              <w:jc w:val="center"/>
              <w:rPr>
                <w:rFonts w:ascii="Arial" w:hAnsi="Arial" w:cs="Arial"/>
                <w:color w:val="000000"/>
                <w:sz w:val="16"/>
                <w:szCs w:val="16"/>
              </w:rPr>
            </w:pPr>
            <w:r>
              <w:rPr>
                <w:rFonts w:ascii="Arial" w:hAnsi="Arial" w:cs="Arial"/>
                <w:color w:val="000000"/>
                <w:sz w:val="16"/>
                <w:szCs w:val="16"/>
              </w:rPr>
              <w:t>DSS - DIA INTERNACIONAL DE LUTA PELA SAÚDE DA MULHER</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2089EC26">
            <w:pPr>
              <w:spacing w:after="0" w:line="240" w:lineRule="auto"/>
              <w:jc w:val="center"/>
              <w:rPr>
                <w:rFonts w:ascii="Arial" w:hAnsi="Arial" w:cs="Arial"/>
                <w:sz w:val="16"/>
                <w:szCs w:val="16"/>
              </w:rPr>
            </w:pPr>
            <w:r>
              <w:rPr>
                <w:rFonts w:ascii="Arial" w:hAnsi="Arial" w:cs="Arial"/>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66353EE0">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23BA05BF">
            <w:pPr>
              <w:spacing w:after="0" w:line="240" w:lineRule="auto"/>
              <w:jc w:val="center"/>
              <w:rPr>
                <w:rFonts w:ascii="Arial" w:hAnsi="Arial" w:cs="Arial"/>
                <w:color w:val="000000"/>
                <w:sz w:val="16"/>
                <w:szCs w:val="16"/>
              </w:rPr>
            </w:pPr>
            <w:r>
              <w:rPr>
                <w:rFonts w:ascii="Arial" w:hAnsi="Arial" w:cs="Arial"/>
                <w:color w:val="000000"/>
                <w:sz w:val="16"/>
                <w:szCs w:val="16"/>
              </w:rPr>
              <w:t>26/05/2025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327B3938">
            <w:pPr>
              <w:spacing w:after="0" w:line="240" w:lineRule="auto"/>
              <w:jc w:val="center"/>
              <w:rPr>
                <w:rFonts w:ascii="Arial" w:hAnsi="Arial" w:cs="Arial"/>
                <w:color w:val="000000"/>
                <w:sz w:val="16"/>
                <w:szCs w:val="16"/>
              </w:rPr>
            </w:pPr>
            <w:r>
              <w:rPr>
                <w:rFonts w:ascii="Arial" w:hAnsi="Arial" w:cs="Arial"/>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3C4EE21A">
            <w:pPr>
              <w:spacing w:after="0" w:line="240" w:lineRule="auto"/>
              <w:jc w:val="center"/>
              <w:rPr>
                <w:rFonts w:ascii="Arial" w:hAnsi="Arial" w:cs="Arial"/>
                <w:color w:val="000000"/>
                <w:sz w:val="16"/>
                <w:szCs w:val="16"/>
              </w:rPr>
            </w:pPr>
            <w:r>
              <w:rPr>
                <w:rFonts w:ascii="Arial" w:hAnsi="Arial" w:cs="Arial"/>
                <w:color w:val="000000"/>
                <w:sz w:val="16"/>
                <w:szCs w:val="16"/>
              </w:rPr>
              <w:t>SESMT</w:t>
            </w:r>
          </w:p>
        </w:tc>
      </w:tr>
      <w:tr w14:paraId="34EF84D8">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67A5D08B">
            <w:pPr>
              <w:jc w:val="center"/>
              <w:rPr>
                <w:rFonts w:ascii="Arial" w:hAnsi="Arial" w:cs="Arial"/>
                <w:color w:val="000000"/>
                <w:sz w:val="16"/>
                <w:szCs w:val="16"/>
              </w:rPr>
            </w:pPr>
            <w:r>
              <w:rPr>
                <w:rFonts w:ascii="Arial" w:hAnsi="Arial" w:cs="Arial"/>
                <w:color w:val="000000"/>
                <w:sz w:val="16"/>
                <w:szCs w:val="16"/>
              </w:rPr>
              <w:t>TREINAMENTO PARA CIPEIRO</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5F3E4B26">
            <w:pPr>
              <w:spacing w:after="0" w:line="240" w:lineRule="auto"/>
              <w:jc w:val="center"/>
              <w:rPr>
                <w:rFonts w:ascii="Arial" w:hAnsi="Arial" w:cs="Arial"/>
                <w:sz w:val="16"/>
                <w:szCs w:val="16"/>
              </w:rPr>
            </w:pPr>
            <w:r>
              <w:rPr>
                <w:rFonts w:ascii="Arial" w:hAnsi="Arial" w:cs="Arial"/>
                <w:color w:val="000000"/>
                <w:sz w:val="16"/>
                <w:szCs w:val="16"/>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73D5D043">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6CA383E9">
            <w:pPr>
              <w:spacing w:after="0" w:line="240" w:lineRule="auto"/>
              <w:jc w:val="center"/>
              <w:rPr>
                <w:rFonts w:ascii="Arial" w:hAnsi="Arial" w:cs="Arial"/>
                <w:color w:val="000000"/>
                <w:sz w:val="16"/>
                <w:szCs w:val="16"/>
              </w:rPr>
            </w:pPr>
            <w:r>
              <w:rPr>
                <w:rFonts w:ascii="Arial" w:hAnsi="Arial" w:cs="Arial"/>
                <w:color w:val="000000"/>
                <w:sz w:val="16"/>
                <w:szCs w:val="16"/>
              </w:rPr>
              <w:t>26/05/2025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58087F4C">
            <w:pPr>
              <w:spacing w:after="0" w:line="240" w:lineRule="auto"/>
              <w:jc w:val="center"/>
              <w:rPr>
                <w:rFonts w:ascii="Arial" w:hAnsi="Arial" w:cs="Arial"/>
                <w:color w:val="000000"/>
                <w:sz w:val="16"/>
                <w:szCs w:val="16"/>
              </w:rPr>
            </w:pPr>
            <w:r>
              <w:rPr>
                <w:rFonts w:ascii="Arial" w:hAnsi="Arial" w:cs="Arial"/>
                <w:color w:val="000000"/>
                <w:sz w:val="16"/>
                <w:szCs w:val="16"/>
              </w:rPr>
              <w:t>4 HORAS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590877FA">
            <w:pPr>
              <w:spacing w:after="0" w:line="240" w:lineRule="auto"/>
              <w:jc w:val="center"/>
              <w:rPr>
                <w:rFonts w:ascii="Arial" w:hAnsi="Arial" w:cs="Arial"/>
                <w:color w:val="000000"/>
                <w:sz w:val="16"/>
                <w:szCs w:val="16"/>
              </w:rPr>
            </w:pPr>
            <w:r>
              <w:rPr>
                <w:rFonts w:ascii="Arial" w:hAnsi="Arial" w:cs="Arial"/>
                <w:color w:val="000000"/>
                <w:sz w:val="16"/>
                <w:szCs w:val="16"/>
              </w:rPr>
              <w:t>SESMT</w:t>
            </w:r>
          </w:p>
        </w:tc>
      </w:tr>
      <w:tr w14:paraId="5DBE816A">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4A4A698A">
            <w:pPr>
              <w:jc w:val="center"/>
              <w:rPr>
                <w:rFonts w:ascii="Arial" w:hAnsi="Arial" w:cs="Arial"/>
                <w:color w:val="000000"/>
                <w:sz w:val="16"/>
                <w:szCs w:val="16"/>
              </w:rPr>
            </w:pPr>
            <w:r>
              <w:rPr>
                <w:rFonts w:ascii="Arial" w:hAnsi="Arial" w:cs="Arial"/>
                <w:color w:val="000000"/>
                <w:sz w:val="16"/>
                <w:szCs w:val="16"/>
              </w:rPr>
              <w:t>MAIO LARANJA - DIA NACIONAL DE COMBATE AO ABUSO E EXPLORAÇÃO SEXUAL DE CRIANÇAS E ADOLESCENTES</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23BFBF7B">
            <w:pPr>
              <w:spacing w:after="0" w:line="240" w:lineRule="auto"/>
              <w:jc w:val="center"/>
              <w:rPr>
                <w:rFonts w:ascii="Arial" w:hAnsi="Arial" w:cs="Arial"/>
                <w:sz w:val="16"/>
                <w:szCs w:val="16"/>
              </w:rPr>
            </w:pPr>
            <w:r>
              <w:rPr>
                <w:rFonts w:ascii="Arial" w:hAnsi="Arial" w:cs="Arial"/>
                <w:color w:val="000000"/>
                <w:sz w:val="16"/>
                <w:szCs w:val="16"/>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0E219E30">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3ABE5C5F">
            <w:pPr>
              <w:spacing w:after="0" w:line="240" w:lineRule="auto"/>
              <w:jc w:val="center"/>
              <w:rPr>
                <w:rFonts w:ascii="Arial" w:hAnsi="Arial" w:cs="Arial"/>
                <w:color w:val="000000"/>
                <w:sz w:val="16"/>
                <w:szCs w:val="16"/>
              </w:rPr>
            </w:pPr>
            <w:r>
              <w:rPr>
                <w:rFonts w:ascii="Arial" w:hAnsi="Arial" w:cs="Arial"/>
                <w:color w:val="000000"/>
                <w:sz w:val="16"/>
                <w:szCs w:val="16"/>
              </w:rPr>
              <w:t>28/05/2025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33EA868C">
            <w:pPr>
              <w:spacing w:after="0" w:line="240" w:lineRule="auto"/>
              <w:jc w:val="center"/>
              <w:rPr>
                <w:rFonts w:ascii="Arial" w:hAnsi="Arial" w:cs="Arial"/>
                <w:color w:val="000000"/>
                <w:sz w:val="16"/>
                <w:szCs w:val="16"/>
              </w:rPr>
            </w:pPr>
            <w:r>
              <w:rPr>
                <w:rFonts w:ascii="Arial" w:hAnsi="Arial" w:cs="Arial"/>
                <w:color w:val="000000"/>
                <w:sz w:val="16"/>
                <w:szCs w:val="16"/>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47388120">
            <w:pPr>
              <w:spacing w:after="0" w:line="240" w:lineRule="auto"/>
              <w:jc w:val="center"/>
              <w:rPr>
                <w:rFonts w:ascii="Arial" w:hAnsi="Arial" w:cs="Arial"/>
                <w:color w:val="000000"/>
                <w:sz w:val="16"/>
                <w:szCs w:val="16"/>
              </w:rPr>
            </w:pPr>
            <w:r>
              <w:rPr>
                <w:rFonts w:ascii="Arial" w:hAnsi="Arial" w:cs="Arial"/>
                <w:color w:val="000000"/>
                <w:sz w:val="16"/>
                <w:szCs w:val="16"/>
              </w:rPr>
              <w:t>NEPE/CIPA</w:t>
            </w:r>
          </w:p>
        </w:tc>
      </w:tr>
      <w:tr w14:paraId="0E21E54C">
        <w:tblPrEx>
          <w:tblCellMar>
            <w:top w:w="0" w:type="dxa"/>
            <w:left w:w="70" w:type="dxa"/>
            <w:bottom w:w="0" w:type="dxa"/>
            <w:right w:w="70" w:type="dxa"/>
          </w:tblCellMar>
        </w:tblPrEx>
        <w:trPr>
          <w:trHeight w:val="661" w:hRule="atLeast"/>
        </w:trPr>
        <w:tc>
          <w:tcPr>
            <w:tcW w:w="2398" w:type="dxa"/>
            <w:tcBorders>
              <w:top w:val="single" w:color="auto" w:sz="4" w:space="0"/>
              <w:left w:val="single" w:color="auto" w:sz="8" w:space="0"/>
              <w:bottom w:val="single" w:color="auto" w:sz="4" w:space="0"/>
              <w:right w:val="single" w:color="auto" w:sz="4" w:space="0"/>
            </w:tcBorders>
            <w:shd w:val="clear" w:color="000000" w:fill="FFFFFF"/>
            <w:vAlign w:val="center"/>
          </w:tcPr>
          <w:p w14:paraId="2B63253C">
            <w:pPr>
              <w:jc w:val="center"/>
              <w:rPr>
                <w:rFonts w:ascii="Arial" w:hAnsi="Arial" w:cs="Arial"/>
                <w:color w:val="000000"/>
                <w:sz w:val="16"/>
                <w:szCs w:val="16"/>
              </w:rPr>
            </w:pPr>
            <w:r>
              <w:rPr>
                <w:rFonts w:ascii="Arial" w:hAnsi="Arial" w:cs="Arial"/>
                <w:color w:val="000000"/>
                <w:sz w:val="16"/>
                <w:szCs w:val="16"/>
              </w:rPr>
              <w:t>MAIO AMARELO - MÊS DE PREVENÇÃO DE ACIDENTES DE TRÂNSITO</w:t>
            </w:r>
          </w:p>
        </w:tc>
        <w:tc>
          <w:tcPr>
            <w:tcW w:w="1714" w:type="dxa"/>
            <w:tcBorders>
              <w:top w:val="single" w:color="auto" w:sz="4" w:space="0"/>
              <w:left w:val="nil"/>
              <w:bottom w:val="single" w:color="auto" w:sz="4" w:space="0"/>
              <w:right w:val="single" w:color="auto" w:sz="4" w:space="0"/>
            </w:tcBorders>
            <w:shd w:val="clear" w:color="000000" w:fill="FFFFFF"/>
            <w:vAlign w:val="center"/>
          </w:tcPr>
          <w:p w14:paraId="15984052">
            <w:pPr>
              <w:spacing w:after="0" w:line="240" w:lineRule="auto"/>
              <w:jc w:val="center"/>
              <w:rPr>
                <w:rFonts w:ascii="Arial" w:hAnsi="Arial" w:cs="Arial"/>
                <w:sz w:val="16"/>
                <w:szCs w:val="16"/>
              </w:rPr>
            </w:pPr>
            <w:r>
              <w:rPr>
                <w:rFonts w:ascii="Arial" w:hAnsi="Arial" w:cs="Arial"/>
                <w:color w:val="000000"/>
                <w:sz w:val="16"/>
                <w:szCs w:val="16"/>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0CE8553F">
            <w:pPr>
              <w:spacing w:after="0" w:line="240" w:lineRule="auto"/>
              <w:jc w:val="center"/>
              <w:rPr>
                <w:rFonts w:ascii="Arial" w:hAnsi="Arial" w:cs="Arial"/>
                <w:color w:val="000000"/>
                <w:sz w:val="16"/>
                <w:szCs w:val="16"/>
              </w:rPr>
            </w:pPr>
            <w:r>
              <w:rPr>
                <w:rFonts w:ascii="Arial" w:hAnsi="Arial" w:cs="Arial"/>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481B01FE">
            <w:pPr>
              <w:spacing w:after="0" w:line="240" w:lineRule="auto"/>
              <w:jc w:val="center"/>
              <w:rPr>
                <w:rFonts w:ascii="Arial" w:hAnsi="Arial" w:cs="Arial"/>
                <w:color w:val="000000"/>
                <w:sz w:val="16"/>
                <w:szCs w:val="16"/>
              </w:rPr>
            </w:pPr>
            <w:r>
              <w:rPr>
                <w:rFonts w:ascii="Arial" w:hAnsi="Arial" w:cs="Arial"/>
                <w:color w:val="000000"/>
                <w:sz w:val="16"/>
                <w:szCs w:val="16"/>
              </w:rPr>
              <w:t>29/05/2025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4F283847">
            <w:pPr>
              <w:spacing w:after="0" w:line="240" w:lineRule="auto"/>
              <w:jc w:val="center"/>
              <w:rPr>
                <w:rFonts w:ascii="Arial" w:hAnsi="Arial" w:cs="Arial"/>
                <w:color w:val="000000"/>
                <w:sz w:val="16"/>
                <w:szCs w:val="16"/>
              </w:rPr>
            </w:pPr>
            <w:r>
              <w:rPr>
                <w:rFonts w:ascii="Arial" w:hAnsi="Arial" w:cs="Arial"/>
                <w:color w:val="000000"/>
                <w:sz w:val="16"/>
                <w:szCs w:val="16"/>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5503CED0">
            <w:pPr>
              <w:spacing w:after="0" w:line="240" w:lineRule="auto"/>
              <w:jc w:val="center"/>
              <w:rPr>
                <w:rFonts w:ascii="Arial" w:hAnsi="Arial" w:cs="Arial"/>
                <w:color w:val="000000"/>
                <w:sz w:val="16"/>
                <w:szCs w:val="16"/>
              </w:rPr>
            </w:pPr>
            <w:r>
              <w:rPr>
                <w:rFonts w:ascii="Arial" w:hAnsi="Arial" w:cs="Arial"/>
                <w:color w:val="000000"/>
                <w:sz w:val="16"/>
                <w:szCs w:val="16"/>
              </w:rPr>
              <w:t>SESMT</w:t>
            </w:r>
          </w:p>
        </w:tc>
      </w:tr>
    </w:tbl>
    <w:p w14:paraId="5F066D06">
      <w:pPr>
        <w:spacing w:after="0" w:line="360" w:lineRule="auto"/>
        <w:ind w:firstLine="680"/>
        <w:jc w:val="center"/>
        <w:rPr>
          <w:rFonts w:ascii="Arial" w:hAnsi="Arial" w:cs="Arial"/>
          <w:color w:val="202124"/>
          <w:sz w:val="16"/>
          <w:szCs w:val="16"/>
          <w:shd w:val="clear" w:color="auto" w:fill="FFFFFF"/>
        </w:rPr>
      </w:pPr>
    </w:p>
    <w:p w14:paraId="10BCA149">
      <w:pPr>
        <w:pStyle w:val="21"/>
        <w:ind w:left="-993" w:right="-567"/>
        <w:jc w:val="center"/>
        <w:rPr>
          <w:rFonts w:ascii="Arial" w:hAnsi="Arial" w:cs="Arial"/>
          <w:i w:val="0"/>
          <w:iCs w:val="0"/>
          <w:color w:val="auto"/>
        </w:rPr>
      </w:pPr>
      <w:r>
        <w:rPr>
          <w:rFonts w:ascii="Arial" w:hAnsi="Arial" w:cs="Arial"/>
          <w:i w:val="0"/>
          <w:iCs w:val="0"/>
          <w:color w:val="auto"/>
        </w:rPr>
        <w:t>Detalhamento de Ações Educativas Mensais</w:t>
      </w:r>
    </w:p>
    <w:p w14:paraId="046FB414">
      <w:pPr>
        <w:spacing w:after="0" w:line="360" w:lineRule="auto"/>
        <w:rPr>
          <w:rFonts w:ascii="Arial" w:hAnsi="Arial" w:cs="Arial"/>
          <w:b/>
          <w:bCs/>
          <w:color w:val="203864" w:themeColor="accent1" w:themeShade="80"/>
          <w:w w:val="85"/>
          <w:sz w:val="36"/>
          <w:szCs w:val="36"/>
        </w:rPr>
      </w:pPr>
    </w:p>
    <w:p w14:paraId="4DE9A6E7">
      <w:pPr>
        <w:spacing w:after="0" w:line="360" w:lineRule="auto"/>
        <w:rPr>
          <w:rFonts w:ascii="Arial" w:hAnsi="Arial" w:cs="Arial"/>
          <w:b/>
          <w:bCs/>
          <w:color w:val="00204F"/>
          <w:w w:val="85"/>
          <w:sz w:val="36"/>
          <w:szCs w:val="36"/>
        </w:rPr>
      </w:pPr>
      <w:r>
        <w:rPr>
          <w:rFonts w:ascii="Arial" w:hAnsi="Arial" w:cs="Arial"/>
          <w:b/>
          <w:bCs/>
          <w:color w:val="00204F"/>
          <w:w w:val="85"/>
          <w:sz w:val="36"/>
          <w:szCs w:val="36"/>
        </w:rPr>
        <w:t>Ações – 01/0</w:t>
      </w:r>
      <w:r>
        <w:rPr>
          <w:rFonts w:hint="default" w:ascii="Arial" w:hAnsi="Arial" w:cs="Arial"/>
          <w:b/>
          <w:bCs/>
          <w:color w:val="00204F"/>
          <w:w w:val="85"/>
          <w:sz w:val="36"/>
          <w:szCs w:val="36"/>
          <w:lang w:val="pt-BR"/>
        </w:rPr>
        <w:t>5</w:t>
      </w:r>
      <w:r>
        <w:rPr>
          <w:rFonts w:ascii="Arial" w:hAnsi="Arial" w:cs="Arial"/>
          <w:b/>
          <w:bCs/>
          <w:color w:val="00204F"/>
          <w:w w:val="85"/>
          <w:sz w:val="36"/>
          <w:szCs w:val="36"/>
        </w:rPr>
        <w:t xml:space="preserve"> a </w:t>
      </w:r>
      <w:r>
        <w:rPr>
          <w:rFonts w:hint="default" w:ascii="Arial" w:hAnsi="Arial" w:cs="Arial"/>
          <w:b/>
          <w:bCs/>
          <w:color w:val="00204F"/>
          <w:w w:val="85"/>
          <w:sz w:val="36"/>
          <w:szCs w:val="36"/>
          <w:lang w:val="pt-BR"/>
        </w:rPr>
        <w:t>31</w:t>
      </w:r>
      <w:r>
        <w:rPr>
          <w:rFonts w:ascii="Arial" w:hAnsi="Arial" w:cs="Arial"/>
          <w:b/>
          <w:bCs/>
          <w:color w:val="00204F"/>
          <w:w w:val="85"/>
          <w:sz w:val="36"/>
          <w:szCs w:val="36"/>
        </w:rPr>
        <w:t>/0</w:t>
      </w:r>
      <w:r>
        <w:rPr>
          <w:rFonts w:hint="default" w:ascii="Arial" w:hAnsi="Arial" w:cs="Arial"/>
          <w:b/>
          <w:bCs/>
          <w:color w:val="00204F"/>
          <w:w w:val="85"/>
          <w:sz w:val="36"/>
          <w:szCs w:val="36"/>
          <w:lang w:val="pt-BR"/>
        </w:rPr>
        <w:t>5</w:t>
      </w:r>
      <w:r>
        <w:rPr>
          <w:rFonts w:ascii="Arial" w:hAnsi="Arial" w:cs="Arial"/>
          <w:b/>
          <w:bCs/>
          <w:color w:val="00204F"/>
          <w:w w:val="85"/>
          <w:sz w:val="36"/>
          <w:szCs w:val="36"/>
        </w:rPr>
        <w:t>/2025</w:t>
      </w:r>
    </w:p>
    <w:p w14:paraId="531B065E">
      <w:pPr>
        <w:spacing w:after="0" w:line="360" w:lineRule="auto"/>
        <w:rPr>
          <w:rFonts w:ascii="Arial" w:hAnsi="Arial" w:cs="Arial"/>
          <w:b/>
          <w:bCs/>
          <w:color w:val="00204F"/>
          <w:w w:val="85"/>
          <w:sz w:val="36"/>
          <w:szCs w:val="36"/>
        </w:rPr>
      </w:pPr>
    </w:p>
    <w:p w14:paraId="17B4C456">
      <w:pPr>
        <w:rPr>
          <w:rFonts w:ascii="Arial" w:hAnsi="Arial" w:cs="Arial"/>
        </w:rPr>
      </w:pPr>
      <w:r>
        <w:rPr>
          <w:rFonts w:ascii="Arial" w:hAnsi="Arial" w:cs="Arial"/>
        </w:rPr>
        <w:t>Ao clicar nesse link você terá acesso as fotos e vídeos das ações e treinamentos do mês atual.</w:t>
      </w:r>
    </w:p>
    <w:p w14:paraId="3399F589">
      <w:pPr>
        <w:rPr>
          <w:rFonts w:ascii="Arial" w:hAnsi="Arial" w:cs="Arial"/>
        </w:rPr>
      </w:pPr>
    </w:p>
    <w:p w14:paraId="6D368615">
      <w:pPr>
        <w:spacing w:after="0" w:line="276" w:lineRule="auto"/>
        <w:ind w:left="-993" w:right="-1136"/>
        <w:jc w:val="center"/>
        <w:rPr>
          <w:rStyle w:val="13"/>
          <w:rFonts w:ascii="Arial" w:hAnsi="Arial" w:cs="Arial"/>
        </w:rPr>
      </w:pPr>
      <w:r>
        <w:fldChar w:fldCharType="begin"/>
      </w:r>
      <w:r>
        <w:instrText xml:space="preserve"> HYPERLINK "https://drive.google.com/drive/u/1/folders/1pJilwSBSTNtr7Pp_CulLjomSI_kypZcA" </w:instrText>
      </w:r>
      <w:r>
        <w:fldChar w:fldCharType="separate"/>
      </w:r>
      <w:r>
        <w:rPr>
          <w:rStyle w:val="13"/>
          <w:rFonts w:ascii="Arial" w:hAnsi="Arial" w:cs="Arial"/>
        </w:rPr>
        <w:t>https://drive.google.com/drive/u/1/folders/1pJilwSBSTNtr7Pp_CulLjomSI_kypZcA</w:t>
      </w:r>
      <w:r>
        <w:rPr>
          <w:rStyle w:val="13"/>
          <w:rFonts w:ascii="Arial" w:hAnsi="Arial" w:cs="Arial"/>
        </w:rPr>
        <w:fldChar w:fldCharType="end"/>
      </w:r>
    </w:p>
    <w:p w14:paraId="05C64E95">
      <w:pPr>
        <w:spacing w:after="0" w:line="276" w:lineRule="auto"/>
        <w:ind w:right="-1136"/>
        <w:jc w:val="center"/>
        <w:rPr>
          <w:rStyle w:val="13"/>
          <w:rFonts w:ascii="Arial" w:hAnsi="Arial" w:cs="Arial"/>
        </w:rPr>
      </w:pPr>
    </w:p>
    <w:p w14:paraId="24290B69">
      <w:pPr>
        <w:spacing w:after="0" w:line="276" w:lineRule="auto"/>
        <w:ind w:left="-993" w:right="-1136"/>
        <w:jc w:val="center"/>
        <w:rPr>
          <w:rStyle w:val="13"/>
          <w:rFonts w:ascii="Arial" w:hAnsi="Arial" w:cs="Arial"/>
        </w:rPr>
      </w:pPr>
    </w:p>
    <w:p w14:paraId="22299C62">
      <w:pPr>
        <w:spacing w:after="0" w:line="276" w:lineRule="auto"/>
        <w:ind w:right="-1136"/>
      </w:pPr>
    </w:p>
    <w:p w14:paraId="53EA6FBC">
      <w:pPr>
        <w:pStyle w:val="30"/>
        <w:spacing w:after="0" w:line="360" w:lineRule="auto"/>
        <w:ind w:left="-709"/>
        <w:jc w:val="both"/>
        <w:rPr>
          <w:rFonts w:ascii="Arial" w:hAnsi="Arial" w:cs="Arial"/>
        </w:rPr>
      </w:pPr>
      <w:r>
        <w:rPr>
          <w:rFonts w:ascii="Arial" w:hAnsi="Arial" w:cs="Arial"/>
        </w:rPr>
        <w:t>Seguindo o calendário de saúde do Estado de Goiás o mês de maio utiliza a cor amarelo e laranja. A campanha maio amarelo incentiva a participação da população, entidades e empresas para promover ações que visem um trânsito mais seguro, já o maio laranja combate ao abuso e exploração sexual de crianças e adolescentes, promovendo a proteção e denúncia de casos. A reunião mensal foi realizada no dia 05/05 as 14h.</w:t>
      </w:r>
    </w:p>
    <w:p w14:paraId="5CCECF66">
      <w:pPr>
        <w:pStyle w:val="30"/>
        <w:spacing w:after="0" w:line="360" w:lineRule="auto"/>
        <w:ind w:left="-709"/>
        <w:jc w:val="both"/>
        <w:rPr>
          <w:rFonts w:ascii="Arial" w:hAnsi="Arial" w:cs="Arial"/>
        </w:rPr>
      </w:pPr>
    </w:p>
    <w:p w14:paraId="63CD6379">
      <w:pPr>
        <w:spacing w:after="0" w:line="360" w:lineRule="auto"/>
        <w:ind w:left="-709"/>
        <w:jc w:val="both"/>
        <w:rPr>
          <w:rFonts w:ascii="Arial" w:hAnsi="Arial" w:cs="Arial"/>
        </w:rPr>
      </w:pPr>
      <w:r>
        <w:rPr>
          <w:rFonts w:ascii="Arial" w:hAnsi="Arial" w:cs="Arial"/>
        </w:rPr>
        <w:t>Entre os dias 01/05 a 31/05 foram realizados DSS ’s com a participação dos cipeiros, SESMT e convidado, com os temas: higienização das mãos</w:t>
      </w:r>
      <w:r>
        <w:rPr>
          <w:rFonts w:ascii="Arial" w:hAnsi="Arial" w:cs="Arial"/>
          <w:color w:val="000000"/>
        </w:rPr>
        <w:t>, dia nacional sobre o uso racional de medicamentos</w:t>
      </w:r>
      <w:r>
        <w:rPr>
          <w:rFonts w:ascii="Arial" w:hAnsi="Arial" w:cs="Arial"/>
        </w:rPr>
        <w:t xml:space="preserve">, </w:t>
      </w:r>
      <w:r>
        <w:rPr>
          <w:rFonts w:ascii="Arial" w:hAnsi="Arial" w:cs="Arial"/>
          <w:color w:val="000000"/>
        </w:rPr>
        <w:t xml:space="preserve">assegurar cirurgia em local de intervenção, procedimento e paciente corretos e dia internacional de luta pela saúde da mulher e </w:t>
      </w:r>
      <w:r>
        <w:rPr>
          <w:rFonts w:ascii="Arial" w:hAnsi="Arial" w:cs="Arial"/>
        </w:rPr>
        <w:t xml:space="preserve">foi realizado pelas fisioterapeutas, Bruna, Luciele e Gleiciane </w:t>
      </w:r>
      <w:r>
        <w:rPr>
          <w:rFonts w:ascii="Arial" w:hAnsi="Arial" w:cs="Arial"/>
          <w:lang w:val="pt-BR"/>
        </w:rPr>
        <w:t>ginástica</w:t>
      </w:r>
      <w:r>
        <w:rPr>
          <w:rFonts w:ascii="Arial" w:hAnsi="Arial" w:cs="Arial"/>
        </w:rPr>
        <w:t xml:space="preserve"> laboral as segundas, quartas e sextas feiras.</w:t>
      </w:r>
    </w:p>
    <w:p w14:paraId="484E3B1B">
      <w:pPr>
        <w:spacing w:after="0" w:line="360" w:lineRule="auto"/>
        <w:ind w:left="-709"/>
        <w:jc w:val="both"/>
        <w:rPr>
          <w:rFonts w:ascii="Arial" w:hAnsi="Arial" w:cs="Arial"/>
        </w:rPr>
      </w:pPr>
    </w:p>
    <w:p w14:paraId="7F615BE4">
      <w:pPr>
        <w:spacing w:after="0" w:line="360" w:lineRule="auto"/>
        <w:ind w:left="-709"/>
        <w:jc w:val="both"/>
        <w:rPr>
          <w:rFonts w:ascii="Arial" w:hAnsi="Arial" w:cs="Arial"/>
          <w:bCs/>
        </w:rPr>
      </w:pPr>
      <w:r>
        <w:rPr>
          <w:rFonts w:ascii="Arial" w:hAnsi="Arial" w:cs="Arial"/>
        </w:rPr>
        <w:t xml:space="preserve">Tivemos </w:t>
      </w:r>
      <w:r>
        <w:rPr>
          <w:rFonts w:ascii="Arial" w:hAnsi="Arial" w:cs="Arial"/>
          <w:bCs/>
        </w:rPr>
        <w:t>do dia 12/05 a 15/05, a semana de enfermagem, realizado pela coordenadora de enfermagem e enfermeira SCIRAS, a todos os enfermeiros e técnicos de enfermagem da unidade</w:t>
      </w:r>
      <w:r>
        <w:rPr>
          <w:rFonts w:hint="default" w:ascii="Arial" w:hAnsi="Arial" w:cs="Arial"/>
          <w:bCs/>
          <w:lang w:val="pt-BR"/>
        </w:rPr>
        <w:t xml:space="preserve">, ocorreu </w:t>
      </w:r>
      <w:r>
        <w:rPr>
          <w:rFonts w:ascii="Arial" w:hAnsi="Arial" w:cs="Arial"/>
          <w:bCs/>
        </w:rPr>
        <w:t xml:space="preserve">integração </w:t>
      </w:r>
      <w:r>
        <w:rPr>
          <w:rFonts w:hint="default" w:ascii="Arial" w:hAnsi="Arial" w:cs="Arial"/>
          <w:bCs/>
          <w:lang w:val="pt-BR"/>
        </w:rPr>
        <w:t>de</w:t>
      </w:r>
      <w:r>
        <w:rPr>
          <w:rFonts w:ascii="Arial" w:hAnsi="Arial" w:cs="Arial"/>
          <w:bCs/>
        </w:rPr>
        <w:t xml:space="preserve"> novos colaboradores, com a participação dos setores da unidade.</w:t>
      </w:r>
    </w:p>
    <w:p w14:paraId="0FBF185E">
      <w:pPr>
        <w:spacing w:after="0" w:line="360" w:lineRule="auto"/>
        <w:ind w:left="-709"/>
        <w:jc w:val="both"/>
        <w:rPr>
          <w:rFonts w:ascii="Arial" w:hAnsi="Arial" w:cs="Arial"/>
          <w:bCs/>
        </w:rPr>
      </w:pPr>
    </w:p>
    <w:p w14:paraId="6A69F138">
      <w:pPr>
        <w:spacing w:after="0" w:line="360" w:lineRule="auto"/>
        <w:ind w:left="-709"/>
        <w:jc w:val="both"/>
        <w:rPr>
          <w:rFonts w:ascii="Arial" w:hAnsi="Arial" w:cs="Arial"/>
          <w:bCs/>
        </w:rPr>
      </w:pPr>
      <w:r>
        <w:rPr>
          <w:rFonts w:ascii="Arial" w:hAnsi="Arial" w:cs="Arial"/>
          <w:bCs/>
        </w:rPr>
        <w:t>Foi realizado um especial dia das mães organizado pelos setores: RH, SESMT, NEPE e multiprofissionais</w:t>
      </w:r>
      <w:r>
        <w:rPr>
          <w:rFonts w:hint="default" w:ascii="Arial" w:hAnsi="Arial" w:cs="Arial"/>
          <w:bCs/>
          <w:lang w:val="pt-BR"/>
        </w:rPr>
        <w:t xml:space="preserve">, e </w:t>
      </w:r>
      <w:r>
        <w:rPr>
          <w:rFonts w:ascii="Arial" w:hAnsi="Arial" w:cs="Arial"/>
          <w:bCs/>
        </w:rPr>
        <w:t xml:space="preserve"> uma palestra para todos os líderes com o tema: Ferramentas de Gestão para líderes.</w:t>
      </w:r>
    </w:p>
    <w:p w14:paraId="04A654A3">
      <w:pPr>
        <w:spacing w:after="0" w:line="360" w:lineRule="auto"/>
        <w:ind w:left="-709"/>
        <w:jc w:val="both"/>
        <w:rPr>
          <w:rFonts w:ascii="Arial" w:hAnsi="Arial" w:cs="Arial"/>
          <w:bCs/>
        </w:rPr>
      </w:pPr>
      <w:r>
        <w:rPr>
          <w:rFonts w:ascii="Arial" w:hAnsi="Arial" w:cs="Arial"/>
          <w:bCs/>
        </w:rPr>
        <w:t xml:space="preserve">Tivemos também palestras sobre: o </w:t>
      </w:r>
      <w:r>
        <w:rPr>
          <w:rFonts w:ascii="Arial" w:hAnsi="Arial" w:cs="Arial"/>
          <w:color w:val="000000"/>
        </w:rPr>
        <w:t>dia mundial da hipertensão arterial, maio laranja e maio amarelo, essa última organizada pelo SESMT</w:t>
      </w:r>
      <w:r>
        <w:rPr>
          <w:rFonts w:hint="default" w:ascii="Arial" w:hAnsi="Arial" w:cs="Arial"/>
          <w:color w:val="000000"/>
          <w:lang w:val="pt-BR"/>
        </w:rPr>
        <w:t>, t</w:t>
      </w:r>
      <w:r>
        <w:rPr>
          <w:rFonts w:ascii="Arial" w:hAnsi="Arial" w:cs="Arial"/>
          <w:bCs/>
        </w:rPr>
        <w:t>ivemos também um treinamento de CIPA, que foi nomeado um novo Cipeiro para compor a CIPA.</w:t>
      </w:r>
    </w:p>
    <w:p w14:paraId="70FB3936">
      <w:pPr>
        <w:spacing w:after="0" w:line="360" w:lineRule="auto"/>
        <w:ind w:left="-709"/>
        <w:jc w:val="both"/>
        <w:rPr>
          <w:rFonts w:ascii="Arial" w:hAnsi="Arial" w:cs="Arial"/>
          <w:bCs/>
        </w:rPr>
      </w:pPr>
    </w:p>
    <w:p w14:paraId="53B6C6E3">
      <w:pPr>
        <w:spacing w:after="0" w:line="360" w:lineRule="auto"/>
        <w:ind w:left="-709"/>
        <w:jc w:val="both"/>
        <w:rPr>
          <w:rFonts w:ascii="Arial" w:hAnsi="Arial" w:cs="Arial"/>
          <w:lang w:bidi="pt-PT"/>
        </w:rPr>
      </w:pPr>
      <w:r>
        <w:rPr>
          <w:rFonts w:ascii="Arial" w:hAnsi="Arial" w:cs="Arial"/>
          <w:bCs/>
        </w:rPr>
        <w:t xml:space="preserve">E uma reunião com a toda a liderança para </w:t>
      </w:r>
      <w:r>
        <w:rPr>
          <w:rFonts w:ascii="Arial" w:hAnsi="Arial" w:cs="Arial"/>
          <w:color w:val="000000"/>
        </w:rPr>
        <w:t>tratar das ferramentas de gestão</w:t>
      </w:r>
      <w:r>
        <w:rPr>
          <w:rFonts w:hint="default" w:ascii="Arial" w:hAnsi="Arial" w:cs="Arial"/>
          <w:color w:val="000000"/>
          <w:lang w:val="pt-BR"/>
        </w:rPr>
        <w:t>, o</w:t>
      </w:r>
      <w:r>
        <w:rPr>
          <w:rFonts w:ascii="Arial" w:hAnsi="Arial" w:cs="Arial"/>
          <w:lang w:bidi="pt-PT"/>
        </w:rPr>
        <w:t xml:space="preserve"> setor apresenta boa resolutividade naquilo que está sendo realizado, com propostas de melhorias que desafiam os gestores e geram oportunidade para compreensão do processo como um todo. </w:t>
      </w:r>
    </w:p>
    <w:p w14:paraId="5BBCA443">
      <w:pPr>
        <w:spacing w:after="0" w:line="360" w:lineRule="auto"/>
        <w:ind w:left="-709"/>
        <w:jc w:val="both"/>
        <w:rPr>
          <w:rFonts w:ascii="Arial" w:hAnsi="Arial" w:cs="Arial"/>
          <w:lang w:bidi="pt-PT"/>
        </w:rPr>
      </w:pPr>
    </w:p>
    <w:p w14:paraId="19CF8D45">
      <w:pPr>
        <w:spacing w:after="0" w:line="360" w:lineRule="auto"/>
        <w:ind w:left="-709"/>
        <w:jc w:val="both"/>
        <w:rPr>
          <w:rFonts w:ascii="Arial" w:hAnsi="Arial" w:cs="Arial"/>
        </w:rPr>
      </w:pPr>
      <w:r>
        <w:rPr>
          <w:rFonts w:ascii="Arial" w:hAnsi="Arial" w:cs="Arial"/>
          <w:lang w:bidi="pt-PT"/>
        </w:rPr>
        <w:t xml:space="preserve">Com tudo isso </w:t>
      </w:r>
      <w:r>
        <w:rPr>
          <w:rFonts w:ascii="Arial" w:hAnsi="Arial" w:cs="Arial"/>
        </w:rPr>
        <w:t>o Núcleo de Educação Permanente está ativo e com responsabilidade diante das solicitações de evolução nos setores, com intuito de capacitar e aperfeiçoar os colaboradores conforme demanda necessária.</w:t>
      </w:r>
    </w:p>
    <w:p w14:paraId="35207363">
      <w:pPr>
        <w:spacing w:after="0" w:line="360" w:lineRule="auto"/>
        <w:ind w:left="-709"/>
        <w:jc w:val="both"/>
        <w:rPr>
          <w:rStyle w:val="13"/>
          <w:rFonts w:hint="default" w:ascii="Arial" w:hAnsi="Arial" w:cs="Arial"/>
          <w:lang w:val="pt-BR"/>
        </w:rPr>
      </w:pPr>
    </w:p>
    <w:p w14:paraId="10317194">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19" w:name="_Toc158119981"/>
      <w:bookmarkStart w:id="20" w:name="_Toc192161432"/>
      <w:r>
        <w:rPr>
          <w:rFonts w:ascii="Arial" w:hAnsi="Arial" w:cs="Arial"/>
          <w:b/>
          <w:bCs/>
          <w:color w:val="000000" w:themeColor="text1"/>
          <w:sz w:val="22"/>
          <w:szCs w:val="22"/>
          <w14:textFill>
            <w14:solidFill>
              <w14:schemeClr w14:val="tx1"/>
            </w14:solidFill>
          </w14:textFill>
        </w:rPr>
        <w:t>Farmácia</w:t>
      </w:r>
      <w:bookmarkEnd w:id="19"/>
      <w:bookmarkEnd w:id="20"/>
    </w:p>
    <w:p w14:paraId="27F1F4BA">
      <w:pPr>
        <w:spacing w:after="0" w:line="360" w:lineRule="auto"/>
        <w:jc w:val="both"/>
        <w:rPr>
          <w:rFonts w:ascii="Arial" w:hAnsi="Arial" w:cs="Arial"/>
        </w:rPr>
      </w:pPr>
      <w:r>
        <w:rPr>
          <w:rFonts w:ascii="Arial" w:hAnsi="Arial" w:cs="Arial"/>
        </w:rPr>
        <w:t xml:space="preserve">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w:t>
      </w:r>
    </w:p>
    <w:p w14:paraId="1E76B0A9">
      <w:pPr>
        <w:spacing w:after="0" w:line="360" w:lineRule="auto"/>
        <w:jc w:val="both"/>
        <w:rPr>
          <w:rFonts w:ascii="Arial" w:hAnsi="Arial" w:cs="Arial"/>
        </w:rPr>
      </w:pPr>
    </w:p>
    <w:p w14:paraId="19B36536">
      <w:pPr>
        <w:spacing w:after="0" w:line="360" w:lineRule="auto"/>
        <w:jc w:val="both"/>
        <w:rPr>
          <w:rFonts w:ascii="Arial" w:hAnsi="Arial" w:cs="Arial"/>
        </w:rPr>
      </w:pPr>
      <w:r>
        <w:rPr>
          <w:rFonts w:ascii="Arial" w:hAnsi="Arial" w:cs="Arial"/>
        </w:rPr>
        <w:t>Destaca-se ainda pela Farmácia de medicamentos constantes do Componente Especializado de Assistência Farmacêutica (CEAF), destinada aos pacientes com processos ativos do CEMAC JB – Centro Estadual de Medicação de Alto Custo Juarez Barbosa.</w:t>
      </w:r>
    </w:p>
    <w:p w14:paraId="720662F9">
      <w:pPr>
        <w:spacing w:after="0" w:line="360" w:lineRule="auto"/>
        <w:jc w:val="both"/>
        <w:rPr>
          <w:rFonts w:ascii="Arial" w:hAnsi="Arial" w:cs="Arial"/>
        </w:rPr>
      </w:pPr>
    </w:p>
    <w:p w14:paraId="123E75F4">
      <w:pPr>
        <w:tabs>
          <w:tab w:val="left" w:pos="284"/>
        </w:tabs>
        <w:spacing w:after="200" w:line="360" w:lineRule="auto"/>
        <w:jc w:val="both"/>
        <w:rPr>
          <w:rFonts w:ascii="Arial" w:hAnsi="Arial" w:cs="Arial"/>
        </w:rPr>
      </w:pPr>
      <w:r>
        <w:rPr>
          <w:rFonts w:ascii="Arial" w:hAnsi="Arial" w:cs="Arial"/>
        </w:rPr>
        <w:t>O departamento de farmácia da Policlínica Estadual da Região Sudoeste- Quirinópolis é composta por 11 colaboradores (1 farmacêutico responsável técnico, 2 farmacêuticas, 8 assistentes de farmácia) que juntos realizam o atendimento das regionais sudoeste I e II que compreende 28 municípios, desempenhando as seguintes atividades:</w:t>
      </w:r>
    </w:p>
    <w:p w14:paraId="013FC100">
      <w:pPr>
        <w:pStyle w:val="30"/>
        <w:numPr>
          <w:ilvl w:val="0"/>
          <w:numId w:val="10"/>
        </w:numPr>
        <w:tabs>
          <w:tab w:val="left" w:pos="284"/>
        </w:tabs>
        <w:spacing w:after="200" w:line="360" w:lineRule="auto"/>
        <w:jc w:val="both"/>
        <w:rPr>
          <w:rFonts w:ascii="Arial" w:hAnsi="Arial" w:cs="Arial"/>
        </w:rPr>
      </w:pPr>
      <w:r>
        <w:rPr>
          <w:rFonts w:ascii="Arial" w:hAnsi="Arial" w:cs="Arial"/>
        </w:rPr>
        <w:t>Consulta farmacêutica (individual e atendimento global);</w:t>
      </w:r>
    </w:p>
    <w:p w14:paraId="05DBC8B0">
      <w:pPr>
        <w:pStyle w:val="30"/>
        <w:numPr>
          <w:ilvl w:val="0"/>
          <w:numId w:val="10"/>
        </w:numPr>
        <w:tabs>
          <w:tab w:val="left" w:pos="284"/>
        </w:tabs>
        <w:spacing w:after="200" w:line="360" w:lineRule="auto"/>
        <w:jc w:val="both"/>
        <w:rPr>
          <w:rFonts w:ascii="Arial" w:hAnsi="Arial" w:cs="Arial"/>
        </w:rPr>
      </w:pPr>
      <w:r>
        <w:rPr>
          <w:rFonts w:ascii="Arial" w:hAnsi="Arial" w:cs="Arial"/>
        </w:rPr>
        <w:t>Dispensação de medicamentos e materiais hospitalares pelo sistema Soul MV;</w:t>
      </w:r>
    </w:p>
    <w:p w14:paraId="5BAEB771">
      <w:pPr>
        <w:pStyle w:val="30"/>
        <w:numPr>
          <w:ilvl w:val="0"/>
          <w:numId w:val="10"/>
        </w:numPr>
        <w:spacing w:before="200" w:after="200" w:line="360" w:lineRule="auto"/>
        <w:jc w:val="both"/>
        <w:rPr>
          <w:rFonts w:ascii="Arial" w:hAnsi="Arial" w:cs="Arial"/>
        </w:rPr>
      </w:pPr>
      <w:r>
        <w:rPr>
          <w:rFonts w:ascii="Arial" w:hAnsi="Arial" w:cs="Arial"/>
        </w:rPr>
        <w:t>Dispensação de medicamentos pelo sistema SDME, dos medicamentos do Componente Especializado de Assistência Farmacêutica;</w:t>
      </w:r>
    </w:p>
    <w:p w14:paraId="58C05588">
      <w:pPr>
        <w:pStyle w:val="30"/>
        <w:numPr>
          <w:ilvl w:val="0"/>
          <w:numId w:val="10"/>
        </w:numPr>
        <w:spacing w:before="200" w:after="200" w:line="360" w:lineRule="auto"/>
        <w:jc w:val="both"/>
        <w:rPr>
          <w:rFonts w:ascii="Arial" w:hAnsi="Arial" w:cs="Arial"/>
        </w:rPr>
      </w:pPr>
      <w:r>
        <w:rPr>
          <w:rFonts w:ascii="Arial" w:hAnsi="Arial" w:cs="Arial"/>
        </w:rPr>
        <w:t>Montagem dos kits para os setores de Endoscopia, Colonoscopia, Hemodiálise, Oftalmologia;</w:t>
      </w:r>
    </w:p>
    <w:p w14:paraId="659E1713">
      <w:pPr>
        <w:pStyle w:val="30"/>
        <w:numPr>
          <w:ilvl w:val="0"/>
          <w:numId w:val="10"/>
        </w:numPr>
        <w:tabs>
          <w:tab w:val="left" w:pos="284"/>
        </w:tabs>
        <w:spacing w:after="200" w:line="360" w:lineRule="auto"/>
        <w:jc w:val="both"/>
        <w:rPr>
          <w:rFonts w:ascii="Arial" w:hAnsi="Arial" w:cs="Arial"/>
        </w:rPr>
      </w:pPr>
      <w:r>
        <w:rPr>
          <w:rFonts w:ascii="Arial" w:hAnsi="Arial" w:cs="Arial"/>
        </w:rPr>
        <w:t>Reunião das Comissões;</w:t>
      </w:r>
    </w:p>
    <w:p w14:paraId="7CE8177B">
      <w:pPr>
        <w:pStyle w:val="30"/>
        <w:numPr>
          <w:ilvl w:val="0"/>
          <w:numId w:val="10"/>
        </w:numPr>
        <w:tabs>
          <w:tab w:val="left" w:pos="284"/>
        </w:tabs>
        <w:spacing w:after="200" w:line="360" w:lineRule="auto"/>
        <w:jc w:val="both"/>
        <w:rPr>
          <w:rFonts w:ascii="Arial" w:hAnsi="Arial" w:cs="Arial"/>
        </w:rPr>
      </w:pPr>
      <w:r>
        <w:rPr>
          <w:rFonts w:ascii="Arial" w:hAnsi="Arial" w:cs="Arial"/>
        </w:rPr>
        <w:t>Conferência diária de prescrições médicas de controle especial;</w:t>
      </w:r>
    </w:p>
    <w:p w14:paraId="6ED9B2E1">
      <w:pPr>
        <w:pStyle w:val="30"/>
        <w:numPr>
          <w:ilvl w:val="0"/>
          <w:numId w:val="10"/>
        </w:numPr>
        <w:tabs>
          <w:tab w:val="left" w:pos="284"/>
        </w:tabs>
        <w:spacing w:after="200" w:line="360" w:lineRule="auto"/>
        <w:jc w:val="both"/>
        <w:rPr>
          <w:rFonts w:ascii="Arial" w:hAnsi="Arial" w:cs="Arial"/>
        </w:rPr>
      </w:pPr>
      <w:r>
        <w:rPr>
          <w:rFonts w:ascii="Arial" w:hAnsi="Arial" w:cs="Arial"/>
        </w:rPr>
        <w:t>Conferência e reposição dos carrinhos de emergência;</w:t>
      </w:r>
    </w:p>
    <w:p w14:paraId="30B062D7">
      <w:pPr>
        <w:pStyle w:val="30"/>
        <w:numPr>
          <w:ilvl w:val="0"/>
          <w:numId w:val="10"/>
        </w:numPr>
        <w:tabs>
          <w:tab w:val="left" w:pos="284"/>
        </w:tabs>
        <w:spacing w:after="200" w:line="360" w:lineRule="auto"/>
        <w:jc w:val="both"/>
        <w:rPr>
          <w:rFonts w:ascii="Arial" w:hAnsi="Arial" w:cs="Arial"/>
        </w:rPr>
      </w:pPr>
      <w:r>
        <w:rPr>
          <w:rFonts w:ascii="Arial" w:hAnsi="Arial" w:cs="Arial"/>
        </w:rPr>
        <w:t>Controle de temperatura e umidade (farmácia e medicamentos controlados, câmaras conservadoras e carrinhos de emergência)</w:t>
      </w:r>
    </w:p>
    <w:p w14:paraId="79CCAABE">
      <w:pPr>
        <w:pStyle w:val="30"/>
        <w:numPr>
          <w:ilvl w:val="0"/>
          <w:numId w:val="10"/>
        </w:numPr>
        <w:tabs>
          <w:tab w:val="left" w:pos="284"/>
        </w:tabs>
        <w:spacing w:after="200" w:line="360" w:lineRule="auto"/>
        <w:jc w:val="both"/>
        <w:rPr>
          <w:rFonts w:ascii="Arial" w:hAnsi="Arial" w:cs="Arial"/>
        </w:rPr>
      </w:pPr>
      <w:r>
        <w:rPr>
          <w:rFonts w:ascii="Arial" w:hAnsi="Arial" w:cs="Arial"/>
        </w:rPr>
        <w:t>Relatório posição de estoque simplificado, saídas de materiais e medicamentos por setor e projeto de custos para PLANISA;</w:t>
      </w:r>
    </w:p>
    <w:p w14:paraId="3BBF36A8">
      <w:pPr>
        <w:pStyle w:val="30"/>
        <w:numPr>
          <w:ilvl w:val="0"/>
          <w:numId w:val="10"/>
        </w:numPr>
        <w:tabs>
          <w:tab w:val="left" w:pos="284"/>
        </w:tabs>
        <w:spacing w:after="200" w:line="360" w:lineRule="auto"/>
        <w:jc w:val="both"/>
        <w:rPr>
          <w:rFonts w:ascii="Arial" w:hAnsi="Arial" w:cs="Arial"/>
        </w:rPr>
      </w:pPr>
      <w:r>
        <w:rPr>
          <w:rFonts w:ascii="Arial" w:hAnsi="Arial" w:cs="Arial"/>
        </w:rPr>
        <w:t>Relatório de estoque dos medicamentos de alto custo, dispensações realizadas no mês e entradas de medicamentos;</w:t>
      </w:r>
    </w:p>
    <w:p w14:paraId="31A099C8">
      <w:pPr>
        <w:pStyle w:val="30"/>
        <w:numPr>
          <w:ilvl w:val="0"/>
          <w:numId w:val="10"/>
        </w:numPr>
        <w:tabs>
          <w:tab w:val="left" w:pos="284"/>
        </w:tabs>
        <w:spacing w:after="200" w:line="360" w:lineRule="auto"/>
        <w:jc w:val="both"/>
        <w:rPr>
          <w:rFonts w:ascii="Arial" w:hAnsi="Arial" w:cs="Arial"/>
        </w:rPr>
      </w:pPr>
      <w:r>
        <w:rPr>
          <w:rFonts w:ascii="Arial" w:hAnsi="Arial" w:cs="Arial"/>
        </w:rPr>
        <w:t>Relatório faturamento;</w:t>
      </w:r>
    </w:p>
    <w:p w14:paraId="793863D2">
      <w:pPr>
        <w:pStyle w:val="30"/>
        <w:numPr>
          <w:ilvl w:val="0"/>
          <w:numId w:val="10"/>
        </w:numPr>
        <w:tabs>
          <w:tab w:val="left" w:pos="284"/>
        </w:tabs>
        <w:spacing w:after="200" w:line="360" w:lineRule="auto"/>
        <w:jc w:val="both"/>
        <w:rPr>
          <w:rFonts w:ascii="Arial" w:hAnsi="Arial" w:cs="Arial"/>
        </w:rPr>
      </w:pPr>
      <w:r>
        <w:rPr>
          <w:rFonts w:ascii="Arial" w:hAnsi="Arial" w:cs="Arial"/>
        </w:rPr>
        <w:t>Relatório atendimentos farmacêuticos;</w:t>
      </w:r>
    </w:p>
    <w:p w14:paraId="035A6B26">
      <w:pPr>
        <w:pStyle w:val="30"/>
        <w:numPr>
          <w:ilvl w:val="0"/>
          <w:numId w:val="10"/>
        </w:numPr>
        <w:spacing w:before="200" w:after="200" w:line="360" w:lineRule="auto"/>
        <w:jc w:val="both"/>
        <w:rPr>
          <w:rFonts w:ascii="Arial" w:hAnsi="Arial" w:cs="Arial"/>
        </w:rPr>
      </w:pPr>
      <w:r>
        <w:rPr>
          <w:rFonts w:ascii="Arial" w:hAnsi="Arial" w:cs="Arial"/>
        </w:rPr>
        <w:t>Contagem de estoque do CEAF diariamente em dois períodos;</w:t>
      </w:r>
    </w:p>
    <w:p w14:paraId="3ECD4E06">
      <w:pPr>
        <w:pStyle w:val="30"/>
        <w:numPr>
          <w:ilvl w:val="0"/>
          <w:numId w:val="10"/>
        </w:numPr>
        <w:spacing w:before="200" w:after="200" w:line="360" w:lineRule="auto"/>
        <w:jc w:val="both"/>
        <w:rPr>
          <w:rFonts w:ascii="Arial" w:hAnsi="Arial" w:cs="Arial"/>
        </w:rPr>
      </w:pPr>
      <w:r>
        <w:rPr>
          <w:rFonts w:ascii="Arial" w:hAnsi="Arial" w:cs="Arial"/>
        </w:rPr>
        <w:t>Fracionamento e controle de estoque.</w:t>
      </w:r>
    </w:p>
    <w:p w14:paraId="6536FF04">
      <w:pPr>
        <w:pStyle w:val="30"/>
        <w:numPr>
          <w:ilvl w:val="0"/>
          <w:numId w:val="10"/>
        </w:numPr>
        <w:spacing w:before="200" w:after="200" w:line="360" w:lineRule="auto"/>
        <w:jc w:val="both"/>
        <w:rPr>
          <w:rFonts w:ascii="Arial" w:hAnsi="Arial" w:cs="Arial"/>
        </w:rPr>
      </w:pPr>
      <w:r>
        <w:rPr>
          <w:rFonts w:ascii="Arial" w:hAnsi="Arial" w:cs="Arial"/>
        </w:rPr>
        <w:t>Abertura e renovação de processos pelo sistema SDME, dos medicamentos do Componente Especializado de Assistência Farmacêutica;</w:t>
      </w:r>
    </w:p>
    <w:p w14:paraId="09E21732">
      <w:pPr>
        <w:pStyle w:val="30"/>
        <w:numPr>
          <w:ilvl w:val="0"/>
          <w:numId w:val="10"/>
        </w:numPr>
        <w:spacing w:before="200" w:after="200" w:line="360" w:lineRule="auto"/>
        <w:jc w:val="both"/>
        <w:rPr>
          <w:rFonts w:ascii="Arial" w:hAnsi="Arial" w:cs="Arial"/>
        </w:rPr>
      </w:pPr>
      <w:r>
        <w:rPr>
          <w:rFonts w:ascii="Arial" w:hAnsi="Arial" w:cs="Arial"/>
        </w:rPr>
        <w:t>Atendimento presencial para orientação de abertura de processo e entrega de documentação;</w:t>
      </w:r>
    </w:p>
    <w:p w14:paraId="41A08B5E">
      <w:pPr>
        <w:pStyle w:val="30"/>
        <w:numPr>
          <w:ilvl w:val="0"/>
          <w:numId w:val="10"/>
        </w:numPr>
        <w:spacing w:before="200" w:after="200" w:line="360" w:lineRule="auto"/>
        <w:jc w:val="both"/>
        <w:rPr>
          <w:rFonts w:ascii="Arial" w:hAnsi="Arial" w:cs="Arial"/>
        </w:rPr>
      </w:pPr>
      <w:r>
        <w:rPr>
          <w:rFonts w:ascii="Arial" w:hAnsi="Arial" w:cs="Arial"/>
        </w:rPr>
        <w:t>Recebimento e entrada de NF de medicamentos pelo sistema Soul MV;</w:t>
      </w:r>
    </w:p>
    <w:p w14:paraId="470F6373">
      <w:pPr>
        <w:pStyle w:val="30"/>
        <w:numPr>
          <w:ilvl w:val="0"/>
          <w:numId w:val="10"/>
        </w:numPr>
        <w:spacing w:before="200" w:after="200" w:line="360" w:lineRule="auto"/>
        <w:jc w:val="both"/>
        <w:rPr>
          <w:rFonts w:ascii="Arial" w:hAnsi="Arial" w:cs="Arial"/>
        </w:rPr>
      </w:pPr>
      <w:r>
        <w:rPr>
          <w:rFonts w:ascii="Arial" w:hAnsi="Arial" w:cs="Arial"/>
        </w:rPr>
        <w:t>Recebimento e armazenamento mensal dos medicamentos do Componente Especializado de Assistência Farmacêutica;</w:t>
      </w:r>
    </w:p>
    <w:p w14:paraId="34670580">
      <w:pPr>
        <w:pStyle w:val="30"/>
        <w:numPr>
          <w:ilvl w:val="0"/>
          <w:numId w:val="10"/>
        </w:numPr>
        <w:spacing w:before="200" w:after="200" w:line="360" w:lineRule="auto"/>
        <w:jc w:val="both"/>
        <w:rPr>
          <w:rFonts w:ascii="Arial" w:hAnsi="Arial" w:cs="Arial"/>
        </w:rPr>
      </w:pPr>
      <w:r>
        <w:rPr>
          <w:rFonts w:ascii="Arial" w:hAnsi="Arial" w:cs="Arial"/>
        </w:rPr>
        <w:t>Treinamentos e capacitações.</w:t>
      </w:r>
    </w:p>
    <w:p w14:paraId="222AE8C1">
      <w:pPr>
        <w:pStyle w:val="30"/>
        <w:numPr>
          <w:ilvl w:val="0"/>
          <w:numId w:val="0"/>
        </w:numPr>
        <w:spacing w:before="200" w:after="200" w:line="360" w:lineRule="auto"/>
        <w:ind w:leftChars="150"/>
        <w:jc w:val="both"/>
        <w:rPr>
          <w:rFonts w:ascii="Arial" w:hAnsi="Arial" w:cs="Arial"/>
        </w:rPr>
      </w:pPr>
    </w:p>
    <w:p w14:paraId="749082C7">
      <w:pPr>
        <w:spacing w:after="0"/>
        <w:rPr>
          <w:rFonts w:ascii="Arial" w:hAnsi="Arial" w:cs="Arial"/>
          <w:b/>
          <w:bCs/>
          <w:lang w:val="fr-FR"/>
        </w:rPr>
      </w:pPr>
    </w:p>
    <w:p w14:paraId="47C8EA5A">
      <w:pPr>
        <w:spacing w:after="0"/>
        <w:ind w:left="284"/>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640D683D">
      <w:pPr>
        <w:spacing w:after="0"/>
        <w:ind w:left="284"/>
        <w:jc w:val="center"/>
        <w:rPr>
          <w:rFonts w:ascii="Arial" w:hAnsi="Arial" w:cs="Arial"/>
          <w:b/>
          <w:bCs/>
          <w:lang w:val="fr-FR"/>
        </w:rPr>
      </w:pPr>
    </w:p>
    <w:p w14:paraId="214BA9ED">
      <w:pPr>
        <w:pStyle w:val="30"/>
        <w:spacing w:before="200" w:after="200" w:line="360" w:lineRule="auto"/>
        <w:ind w:left="0" w:leftChars="-100" w:hanging="220" w:hangingChars="100"/>
        <w:jc w:val="both"/>
        <w:rPr>
          <w:rFonts w:ascii="Arial" w:hAnsi="Arial" w:cs="Arial"/>
          <w:sz w:val="20"/>
          <w:szCs w:val="20"/>
        </w:rPr>
      </w:pPr>
      <w:r>
        <w:drawing>
          <wp:inline distT="0" distB="0" distL="114300" distR="114300">
            <wp:extent cx="6631305" cy="509270"/>
            <wp:effectExtent l="0" t="0" r="17145" b="508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18"/>
                    <a:stretch>
                      <a:fillRect/>
                    </a:stretch>
                  </pic:blipFill>
                  <pic:spPr>
                    <a:xfrm>
                      <a:off x="0" y="0"/>
                      <a:ext cx="6631305" cy="509270"/>
                    </a:xfrm>
                    <a:prstGeom prst="rect">
                      <a:avLst/>
                    </a:prstGeom>
                    <a:noFill/>
                    <a:ln>
                      <a:noFill/>
                    </a:ln>
                  </pic:spPr>
                </pic:pic>
              </a:graphicData>
            </a:graphic>
          </wp:inline>
        </w:drawing>
      </w:r>
    </w:p>
    <w:p w14:paraId="487FA2E7">
      <w:pPr>
        <w:pStyle w:val="30"/>
        <w:spacing w:before="200" w:after="200" w:line="360" w:lineRule="auto"/>
        <w:jc w:val="center"/>
        <w:rPr>
          <w:rFonts w:ascii="Arial" w:hAnsi="Arial" w:cs="Arial"/>
          <w:sz w:val="20"/>
          <w:szCs w:val="20"/>
        </w:rPr>
      </w:pPr>
    </w:p>
    <w:p w14:paraId="6068D799">
      <w:pPr>
        <w:pStyle w:val="30"/>
        <w:spacing w:before="200" w:after="200" w:line="360" w:lineRule="auto"/>
        <w:jc w:val="center"/>
        <w:rPr>
          <w:rFonts w:ascii="Arial" w:hAnsi="Arial" w:cs="Arial"/>
          <w:sz w:val="20"/>
          <w:szCs w:val="20"/>
        </w:rPr>
      </w:pPr>
    </w:p>
    <w:p w14:paraId="0ED540EA">
      <w:pPr>
        <w:pStyle w:val="30"/>
        <w:spacing w:before="200" w:after="200" w:line="360" w:lineRule="auto"/>
        <w:jc w:val="center"/>
        <w:rPr>
          <w:rFonts w:ascii="Arial" w:hAnsi="Arial" w:cs="Arial"/>
          <w:sz w:val="20"/>
          <w:szCs w:val="20"/>
        </w:rPr>
      </w:pPr>
      <w:r>
        <w:rPr>
          <w:rFonts w:hint="default"/>
          <w:lang w:val="pt-BR"/>
        </w:rPr>
        <w:drawing>
          <wp:inline distT="0" distB="0" distL="114300" distR="114300">
            <wp:extent cx="3025775" cy="2605405"/>
            <wp:effectExtent l="0" t="0" r="3175" b="4445"/>
            <wp:docPr id="14" name="Imagem 14" descr="WhatsApp Image 2025-06-03 at 08.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WhatsApp Image 2025-06-03 at 08.50.48"/>
                    <pic:cNvPicPr>
                      <a:picLocks noChangeAspect="1"/>
                    </pic:cNvPicPr>
                  </pic:nvPicPr>
                  <pic:blipFill>
                    <a:blip r:embed="rId19"/>
                    <a:stretch>
                      <a:fillRect/>
                    </a:stretch>
                  </pic:blipFill>
                  <pic:spPr>
                    <a:xfrm>
                      <a:off x="0" y="0"/>
                      <a:ext cx="3025775" cy="2605405"/>
                    </a:xfrm>
                    <a:prstGeom prst="rect">
                      <a:avLst/>
                    </a:prstGeom>
                  </pic:spPr>
                </pic:pic>
              </a:graphicData>
            </a:graphic>
          </wp:inline>
        </w:drawing>
      </w:r>
    </w:p>
    <w:p w14:paraId="1CED0F1F">
      <w:pPr>
        <w:pStyle w:val="30"/>
        <w:spacing w:before="200" w:after="200" w:line="360" w:lineRule="auto"/>
        <w:jc w:val="center"/>
        <w:rPr>
          <w:rFonts w:ascii="Arial" w:hAnsi="Arial" w:cs="Arial"/>
          <w:sz w:val="20"/>
          <w:szCs w:val="20"/>
        </w:rPr>
      </w:pPr>
    </w:p>
    <w:p w14:paraId="66F335AD">
      <w:pPr>
        <w:pStyle w:val="30"/>
        <w:spacing w:before="200" w:after="200" w:line="360" w:lineRule="auto"/>
        <w:jc w:val="center"/>
        <w:rPr>
          <w:rFonts w:ascii="Arial" w:hAnsi="Arial" w:cs="Arial"/>
          <w:sz w:val="20"/>
          <w:szCs w:val="20"/>
        </w:rPr>
      </w:pPr>
    </w:p>
    <w:p w14:paraId="3F66A975">
      <w:pPr>
        <w:pStyle w:val="30"/>
        <w:spacing w:before="200" w:after="200" w:line="360" w:lineRule="auto"/>
        <w:jc w:val="center"/>
        <w:rPr>
          <w:rFonts w:ascii="Arial" w:hAnsi="Arial" w:cs="Arial"/>
          <w:sz w:val="20"/>
          <w:szCs w:val="20"/>
        </w:rPr>
      </w:pPr>
    </w:p>
    <w:p w14:paraId="512B26A1">
      <w:pPr>
        <w:spacing w:after="0"/>
        <w:ind w:left="284"/>
        <w:rPr>
          <w:rFonts w:ascii="Arial" w:hAnsi="Arial" w:cs="Arial"/>
          <w:b/>
          <w:bCs/>
          <w:lang w:val="fr-FR"/>
        </w:rPr>
      </w:pPr>
      <w:r>
        <w:rPr>
          <w:rFonts w:ascii="Arial" w:hAnsi="Arial" w:cs="Arial"/>
          <w:b/>
          <w:bCs/>
          <w:lang w:val="fr-FR"/>
        </w:rPr>
        <w:t xml:space="preserve">      PLANILHA DE ATENDIMENTOS MEDICAMENTO DE ALTO CUSTO</w:t>
      </w:r>
    </w:p>
    <w:p w14:paraId="7F75D7AF">
      <w:pPr>
        <w:spacing w:after="0"/>
        <w:ind w:left="284"/>
        <w:rPr>
          <w:rFonts w:ascii="Arial" w:hAnsi="Arial" w:cs="Arial"/>
          <w:bCs/>
          <w:lang w:val="fr-FR"/>
        </w:rPr>
      </w:pPr>
    </w:p>
    <w:p w14:paraId="66E055AC">
      <w:pPr>
        <w:spacing w:after="0"/>
        <w:ind w:left="284"/>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1C29A014">
      <w:pPr>
        <w:spacing w:after="0"/>
        <w:ind w:left="284"/>
        <w:rPr>
          <w:rFonts w:ascii="Arial" w:hAnsi="Arial" w:cs="Arial"/>
          <w:bCs/>
          <w:lang w:val="fr-FR"/>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47"/>
        <w:gridCol w:w="4247"/>
      </w:tblGrid>
      <w:tr w14:paraId="4F78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94" w:type="dxa"/>
            <w:gridSpan w:val="2"/>
            <w:shd w:val="clear" w:color="auto" w:fill="002060"/>
          </w:tcPr>
          <w:p w14:paraId="11E313B8">
            <w:pPr>
              <w:spacing w:before="120" w:after="120" w:line="240" w:lineRule="auto"/>
              <w:ind w:left="284" w:right="115"/>
              <w:jc w:val="center"/>
              <w:rPr>
                <w:b/>
                <w:color w:val="FFFFFF"/>
              </w:rPr>
            </w:pPr>
            <w:r>
              <w:rPr>
                <w:b/>
                <w:color w:val="FFFFFF"/>
              </w:rPr>
              <w:t>RELATÓRIO DE ATENDIMENTOS JB</w:t>
            </w:r>
          </w:p>
        </w:tc>
      </w:tr>
      <w:tr w14:paraId="0821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4F2D82F2">
            <w:pPr>
              <w:spacing w:before="120" w:after="120" w:line="240" w:lineRule="auto"/>
              <w:ind w:left="284" w:right="115"/>
              <w:jc w:val="center"/>
              <w:rPr>
                <w:b/>
                <w:bCs/>
              </w:rPr>
            </w:pPr>
            <w:r>
              <w:rPr>
                <w:b/>
                <w:bCs/>
              </w:rPr>
              <w:t>ATIVIDADES</w:t>
            </w:r>
          </w:p>
        </w:tc>
        <w:tc>
          <w:tcPr>
            <w:tcW w:w="4247" w:type="dxa"/>
            <w:shd w:val="clear" w:color="auto" w:fill="auto"/>
            <w:vAlign w:val="center"/>
          </w:tcPr>
          <w:p w14:paraId="20055881">
            <w:pPr>
              <w:spacing w:before="120" w:after="120" w:line="240" w:lineRule="auto"/>
              <w:ind w:left="284" w:right="115"/>
              <w:jc w:val="center"/>
              <w:rPr>
                <w:b/>
                <w:bCs/>
              </w:rPr>
            </w:pPr>
            <w:r>
              <w:rPr>
                <w:b/>
                <w:bCs/>
              </w:rPr>
              <w:t>Total</w:t>
            </w:r>
          </w:p>
        </w:tc>
      </w:tr>
      <w:tr w14:paraId="1DE8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788F1350">
            <w:pPr>
              <w:spacing w:before="120" w:after="120" w:line="240" w:lineRule="auto"/>
              <w:ind w:left="284" w:right="115"/>
              <w:jc w:val="center"/>
            </w:pPr>
            <w:r>
              <w:t>Abertura de processo</w:t>
            </w:r>
          </w:p>
        </w:tc>
        <w:tc>
          <w:tcPr>
            <w:tcW w:w="4247" w:type="dxa"/>
            <w:shd w:val="clear" w:color="auto" w:fill="auto"/>
            <w:vAlign w:val="center"/>
          </w:tcPr>
          <w:p w14:paraId="23E4DC66">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624</w:t>
            </w:r>
          </w:p>
        </w:tc>
      </w:tr>
      <w:tr w14:paraId="5F2A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68F24B7C">
            <w:pPr>
              <w:spacing w:before="120" w:after="120" w:line="240" w:lineRule="auto"/>
              <w:ind w:left="284" w:right="115"/>
              <w:jc w:val="center"/>
            </w:pPr>
            <w:r>
              <w:t>Renovação de processo</w:t>
            </w:r>
          </w:p>
        </w:tc>
        <w:tc>
          <w:tcPr>
            <w:tcW w:w="4247" w:type="dxa"/>
            <w:shd w:val="clear" w:color="auto" w:fill="auto"/>
            <w:vAlign w:val="center"/>
          </w:tcPr>
          <w:p w14:paraId="3246BF6C">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2313</w:t>
            </w:r>
          </w:p>
        </w:tc>
      </w:tr>
      <w:tr w14:paraId="20E3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756D7584">
            <w:pPr>
              <w:spacing w:before="120" w:after="120" w:line="240" w:lineRule="auto"/>
              <w:ind w:left="284" w:right="115"/>
              <w:jc w:val="center"/>
            </w:pPr>
            <w:r>
              <w:t>Inclusão de medicamento</w:t>
            </w:r>
          </w:p>
        </w:tc>
        <w:tc>
          <w:tcPr>
            <w:tcW w:w="4247" w:type="dxa"/>
            <w:shd w:val="clear" w:color="auto" w:fill="auto"/>
            <w:vAlign w:val="center"/>
          </w:tcPr>
          <w:p w14:paraId="0342487C">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79</w:t>
            </w:r>
          </w:p>
        </w:tc>
      </w:tr>
      <w:tr w14:paraId="3C44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51468C02">
            <w:pPr>
              <w:spacing w:before="120" w:after="120" w:line="240" w:lineRule="auto"/>
              <w:ind w:left="284" w:right="115"/>
              <w:jc w:val="center"/>
            </w:pPr>
            <w:r>
              <w:t>Acompanhamento de processo</w:t>
            </w:r>
          </w:p>
        </w:tc>
        <w:tc>
          <w:tcPr>
            <w:tcW w:w="4247" w:type="dxa"/>
            <w:shd w:val="clear" w:color="auto" w:fill="auto"/>
            <w:vAlign w:val="center"/>
          </w:tcPr>
          <w:p w14:paraId="1A760258">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0</w:t>
            </w:r>
          </w:p>
        </w:tc>
      </w:tr>
      <w:tr w14:paraId="5472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30BD600D">
            <w:pPr>
              <w:spacing w:before="120" w:after="120" w:line="240" w:lineRule="auto"/>
              <w:ind w:left="284" w:right="115"/>
              <w:jc w:val="center"/>
            </w:pPr>
            <w:r>
              <w:t>Alteração de medicamento</w:t>
            </w:r>
          </w:p>
        </w:tc>
        <w:tc>
          <w:tcPr>
            <w:tcW w:w="4247" w:type="dxa"/>
            <w:shd w:val="clear" w:color="auto" w:fill="auto"/>
            <w:vAlign w:val="center"/>
          </w:tcPr>
          <w:p w14:paraId="6C1A9FD2">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27</w:t>
            </w:r>
          </w:p>
        </w:tc>
      </w:tr>
      <w:tr w14:paraId="10BA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3CDA0886">
            <w:pPr>
              <w:spacing w:before="120" w:after="120" w:line="240" w:lineRule="auto"/>
              <w:ind w:left="284" w:right="115"/>
              <w:jc w:val="center"/>
            </w:pPr>
            <w:r>
              <w:t>Dispensação de medicamentos</w:t>
            </w:r>
          </w:p>
        </w:tc>
        <w:tc>
          <w:tcPr>
            <w:tcW w:w="4247" w:type="dxa"/>
            <w:shd w:val="clear" w:color="auto" w:fill="auto"/>
            <w:vAlign w:val="center"/>
          </w:tcPr>
          <w:p w14:paraId="1385D7F2">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t>15734</w:t>
            </w:r>
          </w:p>
        </w:tc>
      </w:tr>
      <w:tr w14:paraId="72F7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4EBF0839">
            <w:pPr>
              <w:spacing w:before="120" w:after="120" w:line="240" w:lineRule="auto"/>
              <w:ind w:left="284" w:right="115"/>
              <w:jc w:val="center"/>
            </w:pPr>
            <w:r>
              <w:t>Total geral de pacientes únicos referente a dispensação do mês</w:t>
            </w:r>
          </w:p>
        </w:tc>
        <w:tc>
          <w:tcPr>
            <w:tcW w:w="4247" w:type="dxa"/>
            <w:shd w:val="clear" w:color="auto" w:fill="auto"/>
            <w:vAlign w:val="center"/>
          </w:tcPr>
          <w:p w14:paraId="11AB480E">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t>9284</w:t>
            </w:r>
          </w:p>
        </w:tc>
      </w:tr>
      <w:tr w14:paraId="62CA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2CCA315B">
            <w:pPr>
              <w:spacing w:before="120" w:after="120" w:line="240" w:lineRule="auto"/>
              <w:ind w:left="284" w:right="115"/>
              <w:jc w:val="center"/>
            </w:pPr>
            <w:r>
              <w:t>Consultas farmacêuticas</w:t>
            </w:r>
          </w:p>
        </w:tc>
        <w:tc>
          <w:tcPr>
            <w:tcW w:w="4247" w:type="dxa"/>
            <w:shd w:val="clear" w:color="auto" w:fill="auto"/>
            <w:vAlign w:val="center"/>
          </w:tcPr>
          <w:p w14:paraId="63D44E3E">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496</w:t>
            </w:r>
          </w:p>
        </w:tc>
      </w:tr>
    </w:tbl>
    <w:p w14:paraId="4122301D">
      <w:pPr>
        <w:pStyle w:val="3"/>
        <w:numPr>
          <w:ilvl w:val="0"/>
          <w:numId w:val="0"/>
        </w:numPr>
        <w:spacing w:before="240" w:after="240" w:line="360" w:lineRule="auto"/>
        <w:ind w:left="-993"/>
        <w:jc w:val="both"/>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       </w:t>
      </w:r>
    </w:p>
    <w:p w14:paraId="4071875B">
      <w:pPr>
        <w:spacing w:after="0"/>
        <w:ind w:left="284"/>
        <w:jc w:val="center"/>
        <w:rPr>
          <w:rFonts w:ascii="Arial" w:hAnsi="Arial" w:cs="Arial"/>
          <w:b/>
          <w:bCs/>
        </w:rPr>
      </w:pPr>
      <w:r>
        <w:rPr>
          <w:rFonts w:ascii="Arial" w:hAnsi="Arial" w:cs="Arial"/>
          <w:b/>
          <w:bCs/>
          <w:color w:val="000000" w:themeColor="text1"/>
          <w14:textFill>
            <w14:solidFill>
              <w14:schemeClr w14:val="tx1"/>
            </w14:solidFill>
          </w14:textFill>
        </w:rPr>
        <w:t xml:space="preserve">Dados </w:t>
      </w:r>
      <w:r>
        <w:rPr>
          <w:rFonts w:ascii="Arial" w:hAnsi="Arial" w:cs="Arial"/>
          <w:b/>
          <w:bCs/>
        </w:rPr>
        <w:t>de dispensações e consultas farmacêutica planilha de dispensações de medicamentos presentes no componente especializado de assistência farmacêutica e consultas farmacêuticas.</w:t>
      </w:r>
    </w:p>
    <w:p w14:paraId="35EA9E27">
      <w:pPr>
        <w:spacing w:after="0"/>
        <w:ind w:left="284"/>
        <w:jc w:val="center"/>
        <w:rPr>
          <w:rFonts w:ascii="Arial" w:hAnsi="Arial" w:cs="Arial"/>
          <w:bCs/>
        </w:rPr>
      </w:pPr>
    </w:p>
    <w:p w14:paraId="684360EA">
      <w:pPr>
        <w:pStyle w:val="3"/>
        <w:numPr>
          <w:ilvl w:val="0"/>
          <w:numId w:val="0"/>
        </w:numPr>
        <w:spacing w:before="240" w:after="240" w:line="360" w:lineRule="auto"/>
        <w:ind w:left="-993" w:leftChars="0" w:firstLine="551" w:firstLineChars="212"/>
        <w:jc w:val="center"/>
      </w:pPr>
      <w:r>
        <w:drawing>
          <wp:inline distT="0" distB="0" distL="114300" distR="114300">
            <wp:extent cx="5396230" cy="732790"/>
            <wp:effectExtent l="0" t="0" r="13970" b="10160"/>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
                    <pic:cNvPicPr>
                      <a:picLocks noChangeAspect="1"/>
                    </pic:cNvPicPr>
                  </pic:nvPicPr>
                  <pic:blipFill>
                    <a:blip r:embed="rId20"/>
                    <a:stretch>
                      <a:fillRect/>
                    </a:stretch>
                  </pic:blipFill>
                  <pic:spPr>
                    <a:xfrm>
                      <a:off x="0" y="0"/>
                      <a:ext cx="5396230" cy="732790"/>
                    </a:xfrm>
                    <a:prstGeom prst="rect">
                      <a:avLst/>
                    </a:prstGeom>
                    <a:noFill/>
                    <a:ln>
                      <a:noFill/>
                    </a:ln>
                  </pic:spPr>
                </pic:pic>
              </a:graphicData>
            </a:graphic>
          </wp:inline>
        </w:drawing>
      </w:r>
    </w:p>
    <w:p w14:paraId="7D97AB8F">
      <w:pPr>
        <w:pStyle w:val="4"/>
      </w:pPr>
    </w:p>
    <w:p w14:paraId="22B35EF4">
      <w:pPr>
        <w:pStyle w:val="4"/>
      </w:pPr>
      <w:r>
        <w:drawing>
          <wp:inline distT="0" distB="0" distL="114300" distR="114300">
            <wp:extent cx="5396230" cy="553720"/>
            <wp:effectExtent l="0" t="0" r="13970" b="17780"/>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
                    <pic:cNvPicPr>
                      <a:picLocks noChangeAspect="1"/>
                    </pic:cNvPicPr>
                  </pic:nvPicPr>
                  <pic:blipFill>
                    <a:blip r:embed="rId21"/>
                    <a:stretch>
                      <a:fillRect/>
                    </a:stretch>
                  </pic:blipFill>
                  <pic:spPr>
                    <a:xfrm>
                      <a:off x="0" y="0"/>
                      <a:ext cx="5396230" cy="553720"/>
                    </a:xfrm>
                    <a:prstGeom prst="rect">
                      <a:avLst/>
                    </a:prstGeom>
                    <a:noFill/>
                    <a:ln>
                      <a:noFill/>
                    </a:ln>
                  </pic:spPr>
                </pic:pic>
              </a:graphicData>
            </a:graphic>
          </wp:inline>
        </w:drawing>
      </w:r>
    </w:p>
    <w:p w14:paraId="73D4C1ED">
      <w:pPr>
        <w:ind w:right="-1136"/>
        <w:rPr>
          <w:rFonts w:ascii="Arial" w:hAnsi="Arial" w:cs="Arial"/>
          <w:bCs/>
          <w:color w:val="000000" w:themeColor="text1"/>
          <w14:textFill>
            <w14:solidFill>
              <w14:schemeClr w14:val="tx1"/>
            </w14:solidFill>
          </w14:textFill>
        </w:rPr>
      </w:pPr>
      <w:r>
        <w:t xml:space="preserve">           </w:t>
      </w:r>
      <w:r>
        <w:rPr>
          <w:rFonts w:ascii="Arial" w:hAnsi="Arial" w:cs="Arial"/>
          <w:bCs/>
          <w:color w:val="000000" w:themeColor="text1"/>
          <w14:textFill>
            <w14:solidFill>
              <w14:schemeClr w14:val="tx1"/>
            </w14:solidFill>
          </w14:textFill>
        </w:rPr>
        <w:t xml:space="preserve">                           </w:t>
      </w:r>
    </w:p>
    <w:p w14:paraId="533EEAEF">
      <w:pPr>
        <w:ind w:right="-1136"/>
        <w:rPr>
          <w:rFonts w:ascii="Arial" w:hAnsi="Arial" w:cs="Arial"/>
          <w:b/>
          <w:bCs/>
          <w:sz w:val="20"/>
          <w:szCs w:val="20"/>
        </w:rPr>
      </w:pPr>
      <w:r>
        <w:rPr>
          <w:rFonts w:ascii="Arial" w:hAnsi="Arial" w:cs="Arial"/>
          <w:bCs/>
          <w:color w:val="000000" w:themeColor="text1"/>
          <w14:textFill>
            <w14:solidFill>
              <w14:schemeClr w14:val="tx1"/>
            </w14:solidFill>
          </w14:textFill>
        </w:rPr>
        <w:t xml:space="preserve">   </w:t>
      </w:r>
      <w:r>
        <w:rPr>
          <w:rFonts w:ascii="Arial" w:hAnsi="Arial" w:cs="Arial"/>
          <w:b/>
          <w:bCs/>
          <w:sz w:val="20"/>
          <w:szCs w:val="20"/>
        </w:rPr>
        <w:t xml:space="preserve">PLANILHA DE INDICADORES E METAS DE DESEMPENHO </w:t>
      </w:r>
    </w:p>
    <w:p w14:paraId="7D5FCE37">
      <w:pPr>
        <w:spacing w:after="0"/>
        <w:ind w:left="284"/>
        <w:rPr>
          <w:rFonts w:ascii="Arial" w:hAnsi="Arial" w:cs="Arial"/>
          <w:bCs/>
        </w:rPr>
      </w:pPr>
    </w:p>
    <w:p w14:paraId="1D6DE272">
      <w:pPr>
        <w:spacing w:after="0"/>
        <w:ind w:left="284"/>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161029F9">
      <w:pPr>
        <w:pStyle w:val="4"/>
        <w:ind w:left="0" w:leftChars="0" w:firstLine="0" w:firstLineChars="0"/>
        <w:jc w:val="both"/>
      </w:pPr>
    </w:p>
    <w:p w14:paraId="04FB4D63">
      <w:pPr>
        <w:pStyle w:val="21"/>
        <w:jc w:val="center"/>
        <w:rPr>
          <w:rFonts w:hint="default"/>
          <w:lang w:val="pt-BR"/>
        </w:rPr>
      </w:pPr>
      <w:r>
        <w:drawing>
          <wp:inline distT="0" distB="0" distL="114300" distR="114300">
            <wp:extent cx="5398770" cy="3649980"/>
            <wp:effectExtent l="0" t="0" r="11430" b="7620"/>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4"/>
                    <pic:cNvPicPr>
                      <a:picLocks noChangeAspect="1"/>
                    </pic:cNvPicPr>
                  </pic:nvPicPr>
                  <pic:blipFill>
                    <a:blip r:embed="rId22"/>
                    <a:stretch>
                      <a:fillRect/>
                    </a:stretch>
                  </pic:blipFill>
                  <pic:spPr>
                    <a:xfrm>
                      <a:off x="0" y="0"/>
                      <a:ext cx="5398770" cy="3649980"/>
                    </a:xfrm>
                    <a:prstGeom prst="rect">
                      <a:avLst/>
                    </a:prstGeom>
                    <a:noFill/>
                    <a:ln>
                      <a:noFill/>
                    </a:ln>
                  </pic:spPr>
                </pic:pic>
              </a:graphicData>
            </a:graphic>
          </wp:inline>
        </w:drawing>
      </w:r>
    </w:p>
    <w:p w14:paraId="02E5C7F3">
      <w:pPr>
        <w:rPr>
          <w:rFonts w:hint="default"/>
          <w:lang w:val="pt-BR"/>
        </w:rPr>
      </w:pPr>
    </w:p>
    <w:p w14:paraId="1C05689B">
      <w:pPr>
        <w:spacing w:after="0" w:line="240" w:lineRule="auto"/>
        <w:jc w:val="center"/>
        <w:rPr>
          <w:rFonts w:ascii="Arial" w:hAnsi="Arial" w:eastAsia="Times New Roman" w:cs="Arial"/>
          <w:b/>
          <w:bCs/>
          <w:sz w:val="20"/>
          <w:szCs w:val="20"/>
        </w:rPr>
      </w:pPr>
    </w:p>
    <w:p w14:paraId="41E47CDA">
      <w:pPr>
        <w:spacing w:after="0" w:line="240" w:lineRule="auto"/>
        <w:jc w:val="center"/>
        <w:rPr>
          <w:rFonts w:ascii="Arial" w:hAnsi="Arial" w:eastAsia="Times New Roman" w:cs="Arial"/>
          <w:b/>
          <w:bCs/>
          <w:sz w:val="20"/>
          <w:szCs w:val="20"/>
        </w:rPr>
      </w:pPr>
      <w:r>
        <w:rPr>
          <w:rFonts w:ascii="Arial" w:hAnsi="Arial" w:eastAsia="Times New Roman" w:cs="Arial"/>
          <w:b/>
          <w:bCs/>
          <w:sz w:val="20"/>
          <w:szCs w:val="20"/>
        </w:rPr>
        <w:t>INDICADOR DE VENCIDOS</w:t>
      </w:r>
    </w:p>
    <w:p w14:paraId="77D500F1">
      <w:pPr>
        <w:spacing w:after="0" w:line="240" w:lineRule="auto"/>
        <w:jc w:val="center"/>
        <w:rPr>
          <w:rFonts w:ascii="Arial" w:hAnsi="Arial" w:eastAsia="Times New Roman" w:cs="Arial"/>
          <w:b/>
          <w:bCs/>
          <w:sz w:val="20"/>
          <w:szCs w:val="20"/>
        </w:rPr>
      </w:pPr>
    </w:p>
    <w:p w14:paraId="24F8B18C">
      <w:pPr>
        <w:spacing w:after="0" w:line="240" w:lineRule="auto"/>
        <w:jc w:val="center"/>
        <w:rPr>
          <w:rFonts w:ascii="Arial" w:hAnsi="Arial" w:eastAsia="Times New Roman" w:cs="Arial"/>
          <w:b/>
          <w:bCs/>
          <w:sz w:val="20"/>
          <w:szCs w:val="20"/>
        </w:rPr>
      </w:pPr>
    </w:p>
    <w:p w14:paraId="0C6C00B1">
      <w:pPr>
        <w:spacing w:after="0" w:line="240" w:lineRule="auto"/>
        <w:jc w:val="center"/>
      </w:pPr>
      <w:r>
        <w:drawing>
          <wp:inline distT="0" distB="0" distL="114300" distR="114300">
            <wp:extent cx="5399405" cy="2012950"/>
            <wp:effectExtent l="0" t="0" r="10795" b="635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7"/>
                    <pic:cNvPicPr>
                      <a:picLocks noChangeAspect="1"/>
                    </pic:cNvPicPr>
                  </pic:nvPicPr>
                  <pic:blipFill>
                    <a:blip r:embed="rId23"/>
                    <a:stretch>
                      <a:fillRect/>
                    </a:stretch>
                  </pic:blipFill>
                  <pic:spPr>
                    <a:xfrm>
                      <a:off x="0" y="0"/>
                      <a:ext cx="5399405" cy="2012950"/>
                    </a:xfrm>
                    <a:prstGeom prst="rect">
                      <a:avLst/>
                    </a:prstGeom>
                    <a:noFill/>
                    <a:ln>
                      <a:noFill/>
                    </a:ln>
                  </pic:spPr>
                </pic:pic>
              </a:graphicData>
            </a:graphic>
          </wp:inline>
        </w:drawing>
      </w:r>
    </w:p>
    <w:p w14:paraId="793EECF2">
      <w:pPr>
        <w:spacing w:after="0" w:line="240" w:lineRule="auto"/>
        <w:jc w:val="center"/>
      </w:pPr>
    </w:p>
    <w:p w14:paraId="7C3C6DAF">
      <w:pPr>
        <w:pStyle w:val="3"/>
        <w:numPr>
          <w:ilvl w:val="0"/>
          <w:numId w:val="5"/>
        </w:numPr>
        <w:spacing w:before="240" w:after="240" w:line="360" w:lineRule="auto"/>
        <w:jc w:val="both"/>
        <w:rPr>
          <w:rFonts w:ascii="Arial" w:hAnsi="Arial" w:cs="Arial"/>
          <w:b/>
          <w:bCs/>
          <w:color w:val="000000" w:themeColor="text1"/>
          <w:sz w:val="22"/>
          <w:szCs w:val="22"/>
          <w14:textFill>
            <w14:solidFill>
              <w14:schemeClr w14:val="tx1"/>
            </w14:solidFill>
          </w14:textFill>
        </w:rPr>
      </w:pPr>
      <w:bookmarkStart w:id="21" w:name="_Toc192161434"/>
      <w:r>
        <w:rPr>
          <w:rFonts w:ascii="Arial" w:hAnsi="Arial" w:cs="Arial"/>
          <w:b/>
          <w:bCs/>
          <w:color w:val="000000" w:themeColor="text1"/>
          <w:sz w:val="22"/>
          <w:szCs w:val="22"/>
          <w14:textFill>
            <w14:solidFill>
              <w14:schemeClr w14:val="tx1"/>
            </w14:solidFill>
          </w14:textFill>
        </w:rPr>
        <w:t>Faturamento</w:t>
      </w:r>
      <w:bookmarkEnd w:id="21"/>
    </w:p>
    <w:p w14:paraId="7B81346C">
      <w:pPr>
        <w:spacing w:after="0" w:line="360" w:lineRule="auto"/>
        <w:ind w:left="0" w:leftChars="0" w:firstLine="440" w:firstLineChars="200"/>
        <w:jc w:val="both"/>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1DBDA9C7">
      <w:pPr>
        <w:spacing w:after="0" w:line="360" w:lineRule="auto"/>
        <w:ind w:left="0" w:leftChars="0" w:firstLine="440" w:firstLineChars="200"/>
        <w:jc w:val="both"/>
        <w:rPr>
          <w:rFonts w:ascii="Arial" w:hAnsi="Arial" w:cs="Arial"/>
        </w:rPr>
      </w:pPr>
    </w:p>
    <w:p w14:paraId="26C51CE1">
      <w:pPr>
        <w:spacing w:after="0" w:line="360" w:lineRule="auto"/>
        <w:ind w:left="0" w:leftChars="0" w:firstLine="440" w:firstLineChars="200"/>
        <w:jc w:val="both"/>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680ECE88">
      <w:pPr>
        <w:spacing w:after="0" w:line="360" w:lineRule="auto"/>
        <w:ind w:left="0" w:leftChars="0" w:firstLine="440" w:firstLineChars="200"/>
        <w:jc w:val="both"/>
        <w:rPr>
          <w:rFonts w:ascii="Arial" w:hAnsi="Arial" w:cs="Arial"/>
        </w:rPr>
      </w:pPr>
    </w:p>
    <w:p w14:paraId="72F1B123">
      <w:pPr>
        <w:spacing w:after="0" w:line="360" w:lineRule="auto"/>
        <w:ind w:left="0" w:leftChars="0" w:firstLine="440" w:firstLineChars="200"/>
        <w:jc w:val="both"/>
        <w:rPr>
          <w:rFonts w:ascii="Arial" w:hAnsi="Arial" w:cs="Arial"/>
        </w:rPr>
      </w:pPr>
      <w:r>
        <w:rPr>
          <w:rFonts w:ascii="Arial" w:hAnsi="Arial" w:cs="Arial"/>
        </w:rPr>
        <w:t xml:space="preserve">Atualmente o Setor de Faturamento está localizado na área administrativa da unidade onde é realizado o faturamento ambulatorial de consultas médicas e não médicas. O setor é informatizado trabalhando com o auxílio do Sistema </w:t>
      </w:r>
      <w:r>
        <w:rPr>
          <w:rFonts w:ascii="Arial" w:hAnsi="Arial" w:cs="Arial"/>
          <w:lang w:val="pt-BR"/>
        </w:rPr>
        <w:t>SoulMV</w:t>
      </w:r>
      <w:r>
        <w:rPr>
          <w:rFonts w:ascii="Arial" w:hAnsi="Arial" w:cs="Arial"/>
        </w:rPr>
        <w:t>, Sistema de Gerenciamento da Tabela de Procedimentos, Medicamentos e OPM do SUS (Sigtap) e programas do Ministério da Saúde: SIA, BPA, SISAIH, específicos para a apresentação de faturamento para o Sistema Único de Saúde (SUS). São faturados procedimentos de Média e Alta Complexidade conforme convênio com o SUS e ainda procedimentos o qual a instituição está buscando habilitações junto ao Ministério da Saúde.</w:t>
      </w:r>
    </w:p>
    <w:p w14:paraId="5EA1BA49">
      <w:pPr>
        <w:spacing w:after="0" w:line="360" w:lineRule="auto"/>
        <w:ind w:left="0" w:leftChars="0" w:firstLine="440" w:firstLineChars="200"/>
        <w:jc w:val="both"/>
        <w:rPr>
          <w:rFonts w:ascii="Arial" w:hAnsi="Arial" w:cs="Arial"/>
        </w:rPr>
      </w:pPr>
    </w:p>
    <w:p w14:paraId="4B5DD351">
      <w:pPr>
        <w:spacing w:after="0" w:line="360" w:lineRule="auto"/>
        <w:ind w:left="0" w:leftChars="0" w:firstLine="440" w:firstLineChars="200"/>
        <w:jc w:val="both"/>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2B2780B9">
      <w:pPr>
        <w:spacing w:after="0" w:line="360" w:lineRule="auto"/>
        <w:jc w:val="both"/>
        <w:rPr>
          <w:rFonts w:ascii="Arial" w:hAnsi="Arial" w:cs="Arial"/>
          <w:color w:val="000000"/>
        </w:rPr>
      </w:pPr>
    </w:p>
    <w:p w14:paraId="50DFA89D">
      <w:pPr>
        <w:spacing w:after="0" w:line="360" w:lineRule="auto"/>
        <w:ind w:left="-851" w:firstLine="880" w:firstLineChars="400"/>
        <w:jc w:val="both"/>
        <w:rPr>
          <w:rFonts w:ascii="Arial" w:hAnsi="Arial" w:cs="Arial"/>
          <w:b/>
          <w:bCs/>
        </w:rPr>
      </w:pPr>
      <w:r>
        <w:rPr>
          <w:rFonts w:ascii="Arial" w:hAnsi="Arial" w:cs="Arial"/>
          <w:b/>
          <w:bCs/>
        </w:rPr>
        <w:t>Atividades Realizadas</w:t>
      </w:r>
    </w:p>
    <w:p w14:paraId="26794CFA">
      <w:pPr>
        <w:spacing w:after="0" w:line="360" w:lineRule="auto"/>
        <w:ind w:left="-851" w:firstLine="709"/>
        <w:jc w:val="both"/>
        <w:rPr>
          <w:rFonts w:ascii="Arial" w:hAnsi="Arial" w:cs="Arial"/>
          <w:b/>
          <w:bCs/>
        </w:rPr>
      </w:pPr>
    </w:p>
    <w:p w14:paraId="06404FF4">
      <w:pPr>
        <w:spacing w:after="0" w:line="360" w:lineRule="auto"/>
        <w:ind w:left="-851" w:firstLine="709"/>
        <w:jc w:val="both"/>
        <w:rPr>
          <w:rFonts w:ascii="Arial" w:hAnsi="Arial" w:cs="Arial"/>
          <w:b/>
          <w:bCs/>
        </w:rPr>
      </w:pPr>
    </w:p>
    <w:tbl>
      <w:tblPr>
        <w:tblStyle w:val="9"/>
        <w:tblW w:w="8223" w:type="dxa"/>
        <w:tblInd w:w="273" w:type="dxa"/>
        <w:tblLayout w:type="fixed"/>
        <w:tblCellMar>
          <w:top w:w="0" w:type="dxa"/>
          <w:left w:w="70" w:type="dxa"/>
          <w:bottom w:w="0" w:type="dxa"/>
          <w:right w:w="70" w:type="dxa"/>
        </w:tblCellMar>
      </w:tblPr>
      <w:tblGrid>
        <w:gridCol w:w="1844"/>
        <w:gridCol w:w="2693"/>
        <w:gridCol w:w="1276"/>
        <w:gridCol w:w="160"/>
        <w:gridCol w:w="2250"/>
      </w:tblGrid>
      <w:tr w14:paraId="74DCD384">
        <w:tblPrEx>
          <w:tblCellMar>
            <w:top w:w="0" w:type="dxa"/>
            <w:left w:w="70" w:type="dxa"/>
            <w:bottom w:w="0" w:type="dxa"/>
            <w:right w:w="70" w:type="dxa"/>
          </w:tblCellMar>
        </w:tblPrEx>
        <w:trPr>
          <w:trHeight w:val="828" w:hRule="atLeast"/>
          <w:tblHeader/>
        </w:trPr>
        <w:tc>
          <w:tcPr>
            <w:tcW w:w="1844" w:type="dxa"/>
            <w:tcBorders>
              <w:top w:val="single" w:color="auto" w:sz="8" w:space="0"/>
              <w:left w:val="single" w:color="auto" w:sz="8" w:space="0"/>
              <w:bottom w:val="single" w:color="000000" w:sz="8" w:space="0"/>
              <w:right w:val="single" w:color="000000" w:sz="8" w:space="0"/>
            </w:tcBorders>
            <w:shd w:val="clear" w:color="auto" w:fill="00314C"/>
            <w:vAlign w:val="center"/>
          </w:tcPr>
          <w:p w14:paraId="13C10BA3">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SETOR</w:t>
            </w:r>
          </w:p>
        </w:tc>
        <w:tc>
          <w:tcPr>
            <w:tcW w:w="2693" w:type="dxa"/>
            <w:tcBorders>
              <w:top w:val="single" w:color="auto" w:sz="8" w:space="0"/>
              <w:left w:val="single" w:color="000000" w:sz="8" w:space="0"/>
              <w:bottom w:val="single" w:color="000000" w:sz="8" w:space="0"/>
              <w:right w:val="single" w:color="000000" w:sz="8" w:space="0"/>
            </w:tcBorders>
            <w:shd w:val="clear" w:color="auto" w:fill="00314C"/>
            <w:vAlign w:val="center"/>
          </w:tcPr>
          <w:p w14:paraId="6B559AC6">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TEMAS ABORDADOS</w:t>
            </w:r>
          </w:p>
        </w:tc>
        <w:tc>
          <w:tcPr>
            <w:tcW w:w="1276" w:type="dxa"/>
            <w:tcBorders>
              <w:top w:val="single" w:color="auto" w:sz="8" w:space="0"/>
              <w:left w:val="single" w:color="000000" w:sz="8" w:space="0"/>
              <w:bottom w:val="single" w:color="000000" w:sz="8" w:space="0"/>
              <w:right w:val="single" w:color="000000" w:sz="8" w:space="0"/>
            </w:tcBorders>
            <w:shd w:val="clear" w:color="auto" w:fill="00314C"/>
            <w:vAlign w:val="center"/>
          </w:tcPr>
          <w:p w14:paraId="3DD6C4D2">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Nº DE PARTICIPANTES</w:t>
            </w:r>
          </w:p>
        </w:tc>
        <w:tc>
          <w:tcPr>
            <w:tcW w:w="2410"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187068EB">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Cambria" w:hAnsi="Cambria" w:eastAsia="Times New Roman" w:cs="Cambria"/>
                <w:color w:val="FFFFFF" w:themeColor="background1"/>
                <w:lang w:eastAsia="pt-BR"/>
                <w14:textFill>
                  <w14:solidFill>
                    <w14:schemeClr w14:val="bg1"/>
                  </w14:solidFill>
                </w14:textFill>
              </w:rPr>
              <w:t> </w:t>
            </w:r>
            <w:r>
              <w:rPr>
                <w:rFonts w:ascii="Heavitas" w:hAnsi="Heavitas" w:eastAsia="Times New Roman" w:cs="Arial"/>
                <w:color w:val="FFFFFF" w:themeColor="background1"/>
                <w:lang w:eastAsia="pt-BR"/>
                <w14:textFill>
                  <w14:solidFill>
                    <w14:schemeClr w14:val="bg1"/>
                  </w14:solidFill>
                </w14:textFill>
              </w:rPr>
              <w:t>FACILITADOR</w:t>
            </w:r>
          </w:p>
        </w:tc>
      </w:tr>
      <w:tr w14:paraId="2C1230EB">
        <w:trPr>
          <w:trHeight w:val="677"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49243376">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1CB6F100">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18"/>
                <w:szCs w:val="18"/>
                <w:lang w:eastAsia="pt-BR"/>
              </w:rPr>
              <w:t xml:space="preserve">Correção de </w:t>
            </w:r>
            <w:r>
              <w:rPr>
                <w:rFonts w:hint="default" w:ascii="Arial" w:hAnsi="Arial" w:eastAsia="Times New Roman" w:cs="Arial"/>
                <w:color w:val="000000"/>
                <w:sz w:val="18"/>
                <w:szCs w:val="18"/>
                <w:lang w:val="en-US" w:eastAsia="pt-BR"/>
              </w:rPr>
              <w:t>i</w:t>
            </w:r>
            <w:r>
              <w:rPr>
                <w:rFonts w:ascii="Arial" w:hAnsi="Arial" w:eastAsia="Times New Roman" w:cs="Arial"/>
                <w:color w:val="000000"/>
                <w:sz w:val="18"/>
                <w:szCs w:val="18"/>
                <w:lang w:eastAsia="pt-BR"/>
              </w:rPr>
              <w:t>nconsistência</w:t>
            </w:r>
          </w:p>
        </w:tc>
        <w:tc>
          <w:tcPr>
            <w:tcW w:w="1276" w:type="dxa"/>
            <w:tcBorders>
              <w:top w:val="nil"/>
              <w:left w:val="nil"/>
              <w:bottom w:val="single" w:color="auto" w:sz="4" w:space="0"/>
              <w:right w:val="single" w:color="auto" w:sz="4" w:space="0"/>
            </w:tcBorders>
            <w:shd w:val="clear" w:color="000000" w:fill="FFFFFF"/>
            <w:vAlign w:val="center"/>
          </w:tcPr>
          <w:p w14:paraId="0C1235AB">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single" w:color="auto" w:sz="4" w:space="0"/>
              <w:left w:val="nil"/>
              <w:bottom w:val="single" w:color="auto" w:sz="4" w:space="0"/>
              <w:right w:val="single" w:color="auto" w:sz="8" w:space="0"/>
            </w:tcBorders>
            <w:shd w:val="clear" w:color="000000" w:fill="FFFFFF"/>
            <w:vAlign w:val="center"/>
          </w:tcPr>
          <w:p w14:paraId="7BE264A9">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2DDAFD80">
        <w:tblPrEx>
          <w:tblCellMar>
            <w:top w:w="0" w:type="dxa"/>
            <w:left w:w="70" w:type="dxa"/>
            <w:bottom w:w="0" w:type="dxa"/>
            <w:right w:w="70" w:type="dxa"/>
          </w:tblCellMar>
        </w:tblPrEx>
        <w:trPr>
          <w:trHeight w:val="677"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7842C34C">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344B2C0D">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Correção críticas BPA comp. 05</w:t>
            </w:r>
          </w:p>
        </w:tc>
        <w:tc>
          <w:tcPr>
            <w:tcW w:w="1276" w:type="dxa"/>
            <w:tcBorders>
              <w:top w:val="nil"/>
              <w:left w:val="nil"/>
              <w:bottom w:val="single" w:color="auto" w:sz="4" w:space="0"/>
              <w:right w:val="single" w:color="auto" w:sz="4" w:space="0"/>
            </w:tcBorders>
            <w:shd w:val="clear" w:color="000000" w:fill="FFFFFF"/>
            <w:vAlign w:val="center"/>
          </w:tcPr>
          <w:p w14:paraId="42E5C8DD">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single" w:color="auto" w:sz="4" w:space="0"/>
              <w:left w:val="nil"/>
              <w:bottom w:val="single" w:color="auto" w:sz="4" w:space="0"/>
              <w:right w:val="single" w:color="auto" w:sz="8" w:space="0"/>
            </w:tcBorders>
            <w:shd w:val="clear" w:color="000000" w:fill="FFFFFF"/>
            <w:vAlign w:val="center"/>
          </w:tcPr>
          <w:p w14:paraId="04578D79">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Luciana Moreira </w:t>
            </w:r>
          </w:p>
        </w:tc>
      </w:tr>
      <w:tr w14:paraId="5DF2C8E6">
        <w:tblPrEx>
          <w:tblCellMar>
            <w:top w:w="0" w:type="dxa"/>
            <w:left w:w="70" w:type="dxa"/>
            <w:bottom w:w="0" w:type="dxa"/>
            <w:right w:w="70" w:type="dxa"/>
          </w:tblCellMar>
        </w:tblPrEx>
        <w:trPr>
          <w:trHeight w:val="839"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27818407">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471D018A">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Portfolio</w:t>
            </w:r>
          </w:p>
        </w:tc>
        <w:tc>
          <w:tcPr>
            <w:tcW w:w="1276" w:type="dxa"/>
            <w:tcBorders>
              <w:top w:val="nil"/>
              <w:left w:val="nil"/>
              <w:bottom w:val="single" w:color="auto" w:sz="4" w:space="0"/>
              <w:right w:val="single" w:color="auto" w:sz="4" w:space="0"/>
            </w:tcBorders>
            <w:shd w:val="clear" w:color="000000" w:fill="FFFFFF"/>
            <w:vAlign w:val="center"/>
          </w:tcPr>
          <w:p w14:paraId="072ECC83">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7AEC18FE">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Luciana Moreira </w:t>
            </w:r>
          </w:p>
        </w:tc>
      </w:tr>
      <w:tr w14:paraId="03C59879">
        <w:tblPrEx>
          <w:tblCellMar>
            <w:top w:w="0" w:type="dxa"/>
            <w:left w:w="70" w:type="dxa"/>
            <w:bottom w:w="0" w:type="dxa"/>
            <w:right w:w="70" w:type="dxa"/>
          </w:tblCellMar>
        </w:tblPrEx>
        <w:trPr>
          <w:trHeight w:val="839"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6335098E">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04BC7FD4">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Planisa</w:t>
            </w:r>
          </w:p>
        </w:tc>
        <w:tc>
          <w:tcPr>
            <w:tcW w:w="1276" w:type="dxa"/>
            <w:tcBorders>
              <w:top w:val="nil"/>
              <w:left w:val="nil"/>
              <w:bottom w:val="single" w:color="auto" w:sz="4" w:space="0"/>
              <w:right w:val="single" w:color="auto" w:sz="4" w:space="0"/>
            </w:tcBorders>
            <w:shd w:val="clear" w:color="000000" w:fill="FFFFFF"/>
            <w:vAlign w:val="center"/>
          </w:tcPr>
          <w:p w14:paraId="4E80A96D">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38F0AA64">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5E8631FC">
        <w:tblPrEx>
          <w:tblCellMar>
            <w:top w:w="0" w:type="dxa"/>
            <w:left w:w="70" w:type="dxa"/>
            <w:bottom w:w="0" w:type="dxa"/>
            <w:right w:w="70" w:type="dxa"/>
          </w:tblCellMar>
        </w:tblPrEx>
        <w:trPr>
          <w:trHeight w:val="839"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04680693">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25D0DDCA">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Relatórios de Atendimento</w:t>
            </w:r>
          </w:p>
        </w:tc>
        <w:tc>
          <w:tcPr>
            <w:tcW w:w="1276" w:type="dxa"/>
            <w:tcBorders>
              <w:top w:val="nil"/>
              <w:left w:val="nil"/>
              <w:bottom w:val="single" w:color="auto" w:sz="4" w:space="0"/>
              <w:right w:val="single" w:color="auto" w:sz="4" w:space="0"/>
            </w:tcBorders>
            <w:shd w:val="clear" w:color="000000" w:fill="FFFFFF"/>
            <w:vAlign w:val="center"/>
          </w:tcPr>
          <w:p w14:paraId="58D9648D">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26F34AB8">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0891E7F6">
        <w:tblPrEx>
          <w:tblCellMar>
            <w:top w:w="0" w:type="dxa"/>
            <w:left w:w="70" w:type="dxa"/>
            <w:bottom w:w="0" w:type="dxa"/>
            <w:right w:w="70" w:type="dxa"/>
          </w:tblCellMar>
        </w:tblPrEx>
        <w:trPr>
          <w:trHeight w:val="636"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679F5C1E">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1DD45A83">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Atesto</w:t>
            </w:r>
          </w:p>
        </w:tc>
        <w:tc>
          <w:tcPr>
            <w:tcW w:w="1276" w:type="dxa"/>
            <w:tcBorders>
              <w:top w:val="nil"/>
              <w:left w:val="nil"/>
              <w:bottom w:val="single" w:color="auto" w:sz="4" w:space="0"/>
              <w:right w:val="single" w:color="auto" w:sz="4" w:space="0"/>
            </w:tcBorders>
            <w:shd w:val="clear" w:color="000000" w:fill="FFFFFF"/>
            <w:vAlign w:val="center"/>
          </w:tcPr>
          <w:p w14:paraId="4623A0B9">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794F9E39">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6528839E">
        <w:tblPrEx>
          <w:tblCellMar>
            <w:top w:w="0" w:type="dxa"/>
            <w:left w:w="70" w:type="dxa"/>
            <w:bottom w:w="0" w:type="dxa"/>
            <w:right w:w="70" w:type="dxa"/>
          </w:tblCellMar>
        </w:tblPrEx>
        <w:trPr>
          <w:trHeight w:val="702"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6DF4199A">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48872B65">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Bpa</w:t>
            </w:r>
          </w:p>
        </w:tc>
        <w:tc>
          <w:tcPr>
            <w:tcW w:w="1276" w:type="dxa"/>
            <w:tcBorders>
              <w:top w:val="nil"/>
              <w:left w:val="nil"/>
              <w:bottom w:val="single" w:color="auto" w:sz="4" w:space="0"/>
              <w:right w:val="single" w:color="auto" w:sz="4" w:space="0"/>
            </w:tcBorders>
            <w:shd w:val="clear" w:color="000000" w:fill="FFFFFF"/>
            <w:vAlign w:val="center"/>
          </w:tcPr>
          <w:p w14:paraId="0498A4AD">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4A20BE1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Luciana Moreira </w:t>
            </w:r>
          </w:p>
        </w:tc>
      </w:tr>
      <w:tr w14:paraId="090B2F9D">
        <w:tblPrEx>
          <w:tblCellMar>
            <w:top w:w="0" w:type="dxa"/>
            <w:left w:w="70" w:type="dxa"/>
            <w:bottom w:w="0" w:type="dxa"/>
            <w:right w:w="70" w:type="dxa"/>
          </w:tblCellMar>
        </w:tblPrEx>
        <w:trPr>
          <w:trHeight w:val="699"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7D42EC68">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7173B50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Cnes</w:t>
            </w:r>
          </w:p>
        </w:tc>
        <w:tc>
          <w:tcPr>
            <w:tcW w:w="1276" w:type="dxa"/>
            <w:tcBorders>
              <w:top w:val="nil"/>
              <w:left w:val="nil"/>
              <w:bottom w:val="single" w:color="auto" w:sz="4" w:space="0"/>
              <w:right w:val="single" w:color="auto" w:sz="4" w:space="0"/>
            </w:tcBorders>
            <w:shd w:val="clear" w:color="000000" w:fill="FFFFFF"/>
            <w:vAlign w:val="center"/>
          </w:tcPr>
          <w:p w14:paraId="3579012C">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06C5FF0B">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73CBEED5">
        <w:tblPrEx>
          <w:tblCellMar>
            <w:top w:w="0" w:type="dxa"/>
            <w:left w:w="70" w:type="dxa"/>
            <w:bottom w:w="0" w:type="dxa"/>
            <w:right w:w="70" w:type="dxa"/>
          </w:tblCellMar>
        </w:tblPrEx>
        <w:trPr>
          <w:trHeight w:val="698"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4ECFC5FA">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13EAE15D">
            <w:pPr>
              <w:spacing w:after="0" w:line="276"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Acompanhamento Metas</w:t>
            </w:r>
          </w:p>
        </w:tc>
        <w:tc>
          <w:tcPr>
            <w:tcW w:w="1276" w:type="dxa"/>
            <w:tcBorders>
              <w:top w:val="nil"/>
              <w:left w:val="nil"/>
              <w:bottom w:val="single" w:color="auto" w:sz="4" w:space="0"/>
              <w:right w:val="single" w:color="auto" w:sz="4" w:space="0"/>
            </w:tcBorders>
            <w:shd w:val="clear" w:color="000000" w:fill="FFFFFF"/>
            <w:vAlign w:val="center"/>
          </w:tcPr>
          <w:p w14:paraId="34D46296">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2AFE2B3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19C4A58B">
        <w:tblPrEx>
          <w:tblCellMar>
            <w:top w:w="0" w:type="dxa"/>
            <w:left w:w="70" w:type="dxa"/>
            <w:bottom w:w="0" w:type="dxa"/>
            <w:right w:w="70" w:type="dxa"/>
          </w:tblCellMar>
        </w:tblPrEx>
        <w:trPr>
          <w:trHeight w:val="698"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3F0FA0CF">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5598F2C0">
            <w:pPr>
              <w:spacing w:after="0" w:line="276"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Escala Mensal</w:t>
            </w:r>
          </w:p>
        </w:tc>
        <w:tc>
          <w:tcPr>
            <w:tcW w:w="1276" w:type="dxa"/>
            <w:tcBorders>
              <w:top w:val="nil"/>
              <w:left w:val="nil"/>
              <w:bottom w:val="single" w:color="auto" w:sz="4" w:space="0"/>
              <w:right w:val="single" w:color="auto" w:sz="4" w:space="0"/>
            </w:tcBorders>
            <w:shd w:val="clear" w:color="000000" w:fill="FFFFFF"/>
            <w:vAlign w:val="center"/>
          </w:tcPr>
          <w:p w14:paraId="67A58983">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549957A8">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0BD5B3DD">
        <w:tblPrEx>
          <w:tblCellMar>
            <w:top w:w="0" w:type="dxa"/>
            <w:left w:w="70" w:type="dxa"/>
            <w:bottom w:w="0" w:type="dxa"/>
            <w:right w:w="70" w:type="dxa"/>
          </w:tblCellMar>
        </w:tblPrEx>
        <w:trPr>
          <w:trHeight w:val="698"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16A3979D">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1CFC2313">
            <w:pPr>
              <w:spacing w:after="0" w:line="276" w:lineRule="auto"/>
              <w:jc w:val="center"/>
              <w:rPr>
                <w:rFonts w:ascii="Arial" w:hAnsi="Arial" w:eastAsia="Times New Roman" w:cs="Arial"/>
                <w:color w:val="000000"/>
                <w:sz w:val="20"/>
                <w:szCs w:val="20"/>
                <w:lang w:eastAsia="pt-BR"/>
              </w:rPr>
            </w:pPr>
            <w:r>
              <w:rPr>
                <w:rFonts w:ascii="Arial" w:hAnsi="Arial" w:eastAsia="Times New Roman" w:cs="Arial"/>
                <w:color w:val="000000"/>
                <w:sz w:val="18"/>
                <w:szCs w:val="18"/>
                <w:lang w:eastAsia="pt-BR"/>
              </w:rPr>
              <w:t>Cadastro de Colaboradores</w:t>
            </w:r>
          </w:p>
        </w:tc>
        <w:tc>
          <w:tcPr>
            <w:tcW w:w="1276" w:type="dxa"/>
            <w:tcBorders>
              <w:top w:val="nil"/>
              <w:left w:val="nil"/>
              <w:bottom w:val="single" w:color="auto" w:sz="4" w:space="0"/>
              <w:right w:val="single" w:color="auto" w:sz="4" w:space="0"/>
            </w:tcBorders>
            <w:shd w:val="clear" w:color="000000" w:fill="FFFFFF"/>
            <w:vAlign w:val="center"/>
          </w:tcPr>
          <w:p w14:paraId="0FDA5CDB">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472905F0">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3936EA69">
        <w:tblPrEx>
          <w:tblCellMar>
            <w:top w:w="0" w:type="dxa"/>
            <w:left w:w="70" w:type="dxa"/>
            <w:bottom w:w="0" w:type="dxa"/>
            <w:right w:w="70" w:type="dxa"/>
          </w:tblCellMar>
        </w:tblPrEx>
        <w:trPr>
          <w:gridAfter w:val="1"/>
          <w:wAfter w:w="2250" w:type="dxa"/>
          <w:trHeight w:val="567" w:hRule="atLeast"/>
        </w:trPr>
        <w:tc>
          <w:tcPr>
            <w:tcW w:w="4537"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66133B79">
            <w:pPr>
              <w:spacing w:after="0" w:line="240" w:lineRule="auto"/>
              <w:jc w:val="right"/>
              <w:rPr>
                <w:rFonts w:ascii="Arial" w:hAnsi="Arial" w:eastAsia="Times New Roman" w:cs="Arial"/>
                <w:color w:val="000000"/>
                <w:lang w:eastAsia="pt-BR"/>
              </w:rPr>
            </w:pPr>
            <w:r>
              <w:rPr>
                <w:rFonts w:ascii="Heavitas" w:hAnsi="Heavitas" w:eastAsia="Times New Roman" w:cs="Arial"/>
                <w:color w:val="FFFFFF" w:themeColor="background1"/>
                <w:lang w:eastAsia="pt-BR"/>
                <w14:textFill>
                  <w14:solidFill>
                    <w14:schemeClr w14:val="bg1"/>
                  </w14:solidFill>
                </w14:textFill>
              </w:rPr>
              <w:t>TOTAL</w:t>
            </w:r>
            <w:r>
              <w:rPr>
                <w:rFonts w:ascii="Arial" w:hAnsi="Arial" w:eastAsia="Times New Roman" w:cs="Arial"/>
                <w:color w:val="FFFFFF" w:themeColor="background1"/>
                <w:lang w:eastAsia="pt-BR"/>
                <w14:textFill>
                  <w14:solidFill>
                    <w14:schemeClr w14:val="bg1"/>
                  </w14:solidFill>
                </w14:textFill>
              </w:rPr>
              <w:t>:</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0ADD7716">
            <w:pPr>
              <w:spacing w:after="0" w:line="240" w:lineRule="auto"/>
              <w:jc w:val="center"/>
              <w:rPr>
                <w:rFonts w:ascii="Arial" w:hAnsi="Arial" w:eastAsia="Times New Roman" w:cs="Arial"/>
                <w:b/>
                <w:bCs/>
                <w:color w:val="000000"/>
                <w:lang w:eastAsia="pt-BR"/>
              </w:rPr>
            </w:pPr>
            <w:r>
              <w:rPr>
                <w:rFonts w:ascii="Arial" w:hAnsi="Arial" w:eastAsia="Times New Roman" w:cs="Arial"/>
                <w:b/>
                <w:bCs/>
                <w:color w:val="000000"/>
                <w:lang w:eastAsia="pt-BR"/>
              </w:rPr>
              <w:t>11</w:t>
            </w:r>
          </w:p>
        </w:tc>
        <w:tc>
          <w:tcPr>
            <w:tcW w:w="160" w:type="dxa"/>
            <w:tcBorders>
              <w:left w:val="single" w:color="auto" w:sz="4" w:space="0"/>
            </w:tcBorders>
            <w:vAlign w:val="center"/>
          </w:tcPr>
          <w:p w14:paraId="339D6BA2">
            <w:pPr>
              <w:keepNext/>
              <w:spacing w:after="0" w:line="240" w:lineRule="auto"/>
              <w:rPr>
                <w:rFonts w:ascii="Times New Roman" w:hAnsi="Times New Roman" w:eastAsia="Times New Roman" w:cs="Times New Roman"/>
                <w:lang w:eastAsia="pt-BR"/>
              </w:rPr>
            </w:pPr>
          </w:p>
        </w:tc>
      </w:tr>
    </w:tbl>
    <w:p w14:paraId="511B1BD7">
      <w:pPr>
        <w:spacing w:after="0" w:line="360" w:lineRule="auto"/>
        <w:ind w:left="-851" w:firstLine="709"/>
        <w:jc w:val="both"/>
        <w:rPr>
          <w:rFonts w:ascii="Arial" w:hAnsi="Arial" w:cs="Arial"/>
          <w:b/>
          <w:bCs/>
          <w:sz w:val="24"/>
          <w:szCs w:val="24"/>
        </w:rPr>
      </w:pPr>
    </w:p>
    <w:p w14:paraId="22AB8FDB">
      <w:pPr>
        <w:pStyle w:val="3"/>
        <w:numPr>
          <w:ilvl w:val="1"/>
          <w:numId w:val="5"/>
        </w:numPr>
        <w:rPr>
          <w:rFonts w:ascii="Arial" w:hAnsi="Arial" w:cs="Arial"/>
          <w:b/>
          <w:bCs/>
          <w:color w:val="000000" w:themeColor="text1"/>
          <w:sz w:val="22"/>
          <w:szCs w:val="22"/>
          <w:shd w:val="clear" w:color="auto" w:fill="FFFFFF"/>
          <w14:textFill>
            <w14:solidFill>
              <w14:schemeClr w14:val="tx1"/>
            </w14:solidFill>
          </w14:textFill>
        </w:rPr>
      </w:pPr>
      <w:bookmarkStart w:id="22" w:name="_Toc192161435"/>
      <w:r>
        <w:rPr>
          <w:rFonts w:ascii="Arial" w:hAnsi="Arial" w:cs="Arial"/>
          <w:b/>
          <w:bCs/>
          <w:color w:val="000000" w:themeColor="text1"/>
          <w:sz w:val="22"/>
          <w:szCs w:val="22"/>
          <w:shd w:val="clear" w:color="auto" w:fill="FFFFFF"/>
          <w14:textFill>
            <w14:solidFill>
              <w14:schemeClr w14:val="tx1"/>
            </w14:solidFill>
          </w14:textFill>
        </w:rPr>
        <w:t>– Indicadores de Atendimentos</w:t>
      </w:r>
      <w:bookmarkEnd w:id="22"/>
    </w:p>
    <w:p w14:paraId="2757FF97">
      <w:pPr>
        <w:spacing w:after="0" w:line="360" w:lineRule="auto"/>
        <w:ind w:left="-851" w:firstLine="709"/>
        <w:jc w:val="both"/>
        <w:rPr>
          <w:rFonts w:ascii="Arial" w:hAnsi="Arial" w:cs="Arial"/>
          <w:color w:val="000000"/>
        </w:rPr>
      </w:pPr>
    </w:p>
    <w:p w14:paraId="1D26CF08">
      <w:pPr>
        <w:spacing w:after="0" w:line="360" w:lineRule="auto"/>
        <w:ind w:firstLine="709"/>
        <w:jc w:val="both"/>
        <w:rPr>
          <w:rFonts w:ascii="Arial" w:hAnsi="Arial" w:cs="Arial"/>
          <w:color w:val="000000"/>
        </w:rPr>
      </w:pPr>
      <w:r>
        <w:rPr>
          <w:rFonts w:ascii="Arial" w:hAnsi="Arial" w:cs="Arial"/>
        </w:rPr>
        <w:t xml:space="preserve">Durante o mês de </w:t>
      </w:r>
      <w:r>
        <w:rPr>
          <w:rFonts w:hint="default" w:ascii="Arial" w:hAnsi="Arial" w:cs="Arial"/>
          <w:lang w:val="pt-BR"/>
        </w:rPr>
        <w:t xml:space="preserve">maio </w:t>
      </w:r>
      <w:r>
        <w:rPr>
          <w:rFonts w:ascii="Arial" w:hAnsi="Arial" w:cs="Arial"/>
        </w:rPr>
        <w:t xml:space="preserve">de 2025 foram realizados os procedimentos listados abaixo, de acordo com o pactuado pelo contrato de gestão composto pelos seguintes indicadores; </w:t>
      </w:r>
      <w:r>
        <w:rPr>
          <w:rFonts w:ascii="Arial" w:hAnsi="Arial" w:cs="Arial"/>
          <w:color w:val="000000"/>
        </w:rPr>
        <w:t xml:space="preserve">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 </w:t>
      </w:r>
    </w:p>
    <w:p w14:paraId="7143502B">
      <w:pPr>
        <w:spacing w:after="0" w:line="360" w:lineRule="auto"/>
        <w:ind w:firstLine="709"/>
        <w:jc w:val="center"/>
        <w:rPr>
          <w:rFonts w:ascii="Arial" w:hAnsi="Arial" w:cs="Arial"/>
          <w:color w:val="000000"/>
        </w:rPr>
      </w:pPr>
    </w:p>
    <w:tbl>
      <w:tblPr>
        <w:tblStyle w:val="9"/>
        <w:tblW w:w="9060"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
      <w:tblGrid>
        <w:gridCol w:w="4246"/>
        <w:gridCol w:w="1276"/>
        <w:gridCol w:w="1276"/>
        <w:gridCol w:w="1276"/>
        <w:gridCol w:w="986"/>
      </w:tblGrid>
      <w:tr w14:paraId="65024C19">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867" w:hRule="atLeast"/>
          <w:jc w:val="center"/>
        </w:trPr>
        <w:tc>
          <w:tcPr>
            <w:tcW w:w="424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4DEE5EF3">
            <w:pPr>
              <w:ind w:left="220" w:leftChars="100" w:firstLine="330" w:firstLineChars="150"/>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Indicador</w:t>
            </w:r>
          </w:p>
        </w:tc>
        <w:tc>
          <w:tcPr>
            <w:tcW w:w="127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4CBD6DDD">
            <w:pPr>
              <w:jc w:val="center"/>
              <w:rPr>
                <w:b/>
                <w:color w:val="000000"/>
              </w:rPr>
            </w:pPr>
            <w:r>
              <w:rPr>
                <w:b/>
                <w:color w:val="FFFFFF" w:themeColor="background1"/>
                <w14:textFill>
                  <w14:solidFill>
                    <w14:schemeClr w14:val="bg1"/>
                  </w14:solidFill>
                </w14:textFill>
              </w:rPr>
              <w:t>Meta Mensal</w:t>
            </w:r>
          </w:p>
        </w:tc>
        <w:tc>
          <w:tcPr>
            <w:tcW w:w="127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1A2C8C1B">
            <w:pPr>
              <w:jc w:val="center"/>
              <w:rPr>
                <w:rFonts w:hint="default"/>
                <w:b/>
                <w:color w:val="000000"/>
                <w:lang w:val="pt-BR"/>
              </w:rPr>
            </w:pPr>
            <w:r>
              <w:rPr>
                <w:rFonts w:hint="default"/>
                <w:b/>
                <w:color w:val="FFFFFF" w:themeColor="background1"/>
                <w:lang w:val="pt-BR"/>
                <w14:textFill>
                  <w14:solidFill>
                    <w14:schemeClr w14:val="bg1"/>
                  </w14:solidFill>
                </w14:textFill>
              </w:rPr>
              <w:t>Abril</w:t>
            </w:r>
          </w:p>
        </w:tc>
        <w:tc>
          <w:tcPr>
            <w:tcW w:w="127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3A07B2F6">
            <w:pPr>
              <w:jc w:val="center"/>
              <w:rPr>
                <w:b/>
                <w:color w:val="FFFFFF" w:themeColor="background1"/>
                <w:sz w:val="24"/>
                <w14:textFill>
                  <w14:solidFill>
                    <w14:schemeClr w14:val="bg1"/>
                  </w14:solidFill>
                </w14:textFill>
              </w:rPr>
            </w:pPr>
            <w:r>
              <w:rPr>
                <w:b/>
                <w:color w:val="FFFFFF" w:themeColor="background1"/>
                <w:sz w:val="24"/>
                <w14:textFill>
                  <w14:solidFill>
                    <w14:schemeClr w14:val="bg1"/>
                  </w14:solidFill>
                </w14:textFill>
              </w:rPr>
              <w:t>%</w:t>
            </w:r>
          </w:p>
          <w:p w14:paraId="54696853">
            <w:pPr>
              <w:jc w:val="left"/>
              <w:rPr>
                <w:b/>
                <w:color w:val="000000"/>
              </w:rPr>
            </w:pPr>
            <w:r>
              <w:rPr>
                <w:b/>
                <w:color w:val="FFFFFF" w:themeColor="background1"/>
                <w:sz w:val="20"/>
                <w:szCs w:val="20"/>
                <w14:textFill>
                  <w14:solidFill>
                    <w14:schemeClr w14:val="bg1"/>
                  </w14:solidFill>
                </w14:textFill>
              </w:rPr>
              <w:t>Atingido</w:t>
            </w:r>
          </w:p>
        </w:tc>
        <w:tc>
          <w:tcPr>
            <w:tcW w:w="98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6AD413A3">
            <w:pPr>
              <w:jc w:val="center"/>
              <w:rPr>
                <w:b/>
                <w:color w:val="FFFFFF" w:themeColor="background1"/>
                <w:sz w:val="24"/>
                <w14:textFill>
                  <w14:solidFill>
                    <w14:schemeClr w14:val="bg1"/>
                  </w14:solidFill>
                </w14:textFill>
              </w:rPr>
            </w:pPr>
            <w:sdt>
              <w:sdtPr>
                <w:rPr>
                  <w:color w:val="FFFFFF" w:themeColor="background1"/>
                  <w:sz w:val="24"/>
                  <w14:textFill>
                    <w14:solidFill>
                      <w14:schemeClr w14:val="bg1"/>
                    </w14:solidFill>
                  </w14:textFill>
                </w:rPr>
                <w:tag w:val="goog_rdk_1"/>
                <w:id w:val="163442615"/>
              </w:sdtPr>
              <w:sdtEndPr>
                <w:rPr>
                  <w:color w:val="FFFFFF" w:themeColor="background1"/>
                  <w:sz w:val="24"/>
                  <w14:textFill>
                    <w14:solidFill>
                      <w14:schemeClr w14:val="bg1"/>
                    </w14:solidFill>
                  </w14:textFill>
                </w:rPr>
              </w:sdtEndPr>
              <w:sdtContent>
                <w:r>
                  <w:rPr>
                    <w:rFonts w:ascii="Arial Unicode MS" w:hAnsi="Arial Unicode MS"/>
                    <w:b/>
                    <w:color w:val="FFFFFF" w:themeColor="background1"/>
                    <w:sz w:val="24"/>
                    <w14:textFill>
                      <w14:solidFill>
                        <w14:schemeClr w14:val="bg1"/>
                      </w14:solidFill>
                    </w14:textFill>
                  </w:rPr>
                  <w:t>∆</w:t>
                </w:r>
              </w:sdtContent>
            </w:sdt>
          </w:p>
        </w:tc>
      </w:tr>
      <w:tr w14:paraId="2F3BE5A0">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89" w:hRule="atLeast"/>
          <w:jc w:val="center"/>
        </w:trPr>
        <w:tc>
          <w:tcPr>
            <w:tcW w:w="4246" w:type="dxa"/>
            <w:tcBorders>
              <w:top w:val="single" w:color="BFBFBF" w:sz="4" w:space="0"/>
              <w:left w:val="single" w:color="BFBFBF" w:sz="4" w:space="0"/>
              <w:bottom w:val="single" w:color="BFBFBF" w:sz="4" w:space="0"/>
              <w:right w:val="single" w:color="BFBFBF" w:sz="4" w:space="0"/>
            </w:tcBorders>
            <w:vAlign w:val="center"/>
          </w:tcPr>
          <w:p w14:paraId="242E4CE6">
            <w:pPr>
              <w:jc w:val="center"/>
              <w:rPr>
                <w:color w:val="333333"/>
              </w:rPr>
            </w:pPr>
            <w:r>
              <w:rPr>
                <w:color w:val="333333"/>
              </w:rPr>
              <w:t>Atendimento Ambulatorial (Especialidades Médicas)</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1F48EA06">
            <w:pPr>
              <w:ind w:firstLine="330" w:firstLineChars="150"/>
              <w:jc w:val="center"/>
              <w:rPr>
                <w:rFonts w:asciiTheme="minorAscii" w:hAnsiTheme="minorAscii" w:eastAsiaTheme="minorEastAsia" w:cstheme="minorBidi"/>
                <w:b/>
                <w:color w:val="333333"/>
                <w:sz w:val="22"/>
                <w:szCs w:val="22"/>
                <w:lang w:val="pt-BR" w:eastAsia="en-US" w:bidi="ar-SA"/>
              </w:rPr>
            </w:pPr>
            <w:r>
              <w:rPr>
                <w:b/>
                <w:color w:val="333333"/>
              </w:rPr>
              <w:t>2.800</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4B46B32F">
            <w:pPr>
              <w:ind w:firstLine="330" w:firstLineChars="150"/>
              <w:jc w:val="center"/>
              <w:rPr>
                <w:rFonts w:hint="default" w:asciiTheme="minorAscii" w:hAnsiTheme="minorAscii" w:eastAsiaTheme="minorEastAsia" w:cstheme="minorBidi"/>
                <w:color w:val="333333"/>
                <w:sz w:val="22"/>
                <w:szCs w:val="22"/>
                <w:lang w:val="pt-BR" w:eastAsia="en-US" w:bidi="ar-SA"/>
              </w:rPr>
            </w:pPr>
            <w:r>
              <w:rPr>
                <w:color w:val="333333"/>
              </w:rPr>
              <w:t>3.119</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7254E518">
            <w:pPr>
              <w:ind w:firstLine="330" w:firstLineChars="150"/>
              <w:jc w:val="center"/>
              <w:rPr>
                <w:rFonts w:asciiTheme="minorAscii" w:hAnsiTheme="minorAscii" w:eastAsiaTheme="minorEastAsia" w:cstheme="minorBidi"/>
                <w:color w:val="333333"/>
                <w:sz w:val="22"/>
                <w:szCs w:val="22"/>
                <w:lang w:val="pt-BR" w:eastAsia="en-US" w:bidi="ar-SA"/>
              </w:rPr>
            </w:pPr>
            <w:r>
              <w:rPr>
                <w:color w:val="333333"/>
              </w:rPr>
              <w:t>111%</w:t>
            </w:r>
          </w:p>
        </w:tc>
        <w:tc>
          <w:tcPr>
            <w:tcW w:w="98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3DE5AD73">
            <w:pPr>
              <w:ind w:firstLine="315" w:firstLineChars="150"/>
              <w:jc w:val="center"/>
              <w:rPr>
                <w:rFonts w:asciiTheme="minorAscii" w:hAnsiTheme="minorAscii" w:eastAsiaTheme="minorEastAsia" w:cstheme="minorBidi"/>
                <w:color w:val="333333"/>
                <w:sz w:val="21"/>
                <w:szCs w:val="21"/>
                <w:lang w:val="pt-BR" w:eastAsia="en-US" w:bidi="ar-SA"/>
              </w:rPr>
            </w:pPr>
            <w:r>
              <w:rPr>
                <w:color w:val="333333"/>
                <w:sz w:val="21"/>
                <w:szCs w:val="21"/>
              </w:rPr>
              <w:t>-11%</w:t>
            </w:r>
          </w:p>
        </w:tc>
      </w:tr>
      <w:tr w14:paraId="28E9A324">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89" w:hRule="atLeast"/>
          <w:jc w:val="center"/>
        </w:trPr>
        <w:tc>
          <w:tcPr>
            <w:tcW w:w="4246" w:type="dxa"/>
            <w:tcBorders>
              <w:top w:val="single" w:color="BFBFBF" w:sz="4" w:space="0"/>
              <w:left w:val="single" w:color="BFBFBF" w:sz="4" w:space="0"/>
              <w:bottom w:val="single" w:color="BFBFBF" w:sz="4" w:space="0"/>
              <w:right w:val="single" w:color="BFBFBF" w:sz="4" w:space="0"/>
            </w:tcBorders>
            <w:vAlign w:val="center"/>
          </w:tcPr>
          <w:p w14:paraId="27E50497">
            <w:pPr>
              <w:jc w:val="center"/>
              <w:rPr>
                <w:color w:val="333333"/>
              </w:rPr>
            </w:pPr>
            <w:r>
              <w:rPr>
                <w:color w:val="333333"/>
              </w:rPr>
              <w:t>Atendimento Ambulatorial (Especialidades Não Médicas)</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17EDEA0D">
            <w:pPr>
              <w:ind w:firstLine="330" w:firstLineChars="150"/>
              <w:jc w:val="center"/>
              <w:rPr>
                <w:rFonts w:asciiTheme="minorAscii" w:hAnsiTheme="minorAscii" w:eastAsiaTheme="minorEastAsia" w:cstheme="minorBidi"/>
                <w:b/>
                <w:color w:val="333333"/>
                <w:sz w:val="22"/>
                <w:szCs w:val="22"/>
                <w:lang w:val="pt-BR" w:eastAsia="en-US" w:bidi="ar-SA"/>
              </w:rPr>
            </w:pPr>
            <w:r>
              <w:rPr>
                <w:b/>
                <w:color w:val="333333"/>
              </w:rPr>
              <w:t>4.200</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1D38BC5B">
            <w:pPr>
              <w:ind w:firstLine="330" w:firstLineChars="150"/>
              <w:jc w:val="center"/>
              <w:rPr>
                <w:rFonts w:hint="default" w:asciiTheme="minorAscii" w:hAnsiTheme="minorAscii" w:eastAsiaTheme="minorEastAsia" w:cstheme="minorBidi"/>
                <w:color w:val="333333"/>
                <w:sz w:val="22"/>
                <w:szCs w:val="22"/>
                <w:lang w:val="pt-BR" w:eastAsia="en-US" w:bidi="ar-SA"/>
              </w:rPr>
            </w:pPr>
            <w:r>
              <w:rPr>
                <w:color w:val="333333"/>
              </w:rPr>
              <w:t>4.425</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249EBB6A">
            <w:pPr>
              <w:ind w:firstLine="330" w:firstLineChars="150"/>
              <w:jc w:val="center"/>
              <w:rPr>
                <w:rFonts w:hint="default" w:asciiTheme="minorAscii" w:hAnsiTheme="minorAscii" w:eastAsiaTheme="minorEastAsia" w:cstheme="minorBidi"/>
                <w:color w:val="333333"/>
                <w:sz w:val="22"/>
                <w:szCs w:val="22"/>
                <w:lang w:val="pt-BR" w:eastAsia="en-US" w:bidi="ar-SA"/>
              </w:rPr>
            </w:pPr>
            <w:r>
              <w:rPr>
                <w:color w:val="333333"/>
              </w:rPr>
              <w:t>105%</w:t>
            </w:r>
          </w:p>
        </w:tc>
        <w:tc>
          <w:tcPr>
            <w:tcW w:w="98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78888881">
            <w:pPr>
              <w:ind w:firstLine="315" w:firstLineChars="150"/>
              <w:jc w:val="center"/>
              <w:rPr>
                <w:rFonts w:asciiTheme="minorAscii" w:hAnsiTheme="minorAscii" w:eastAsiaTheme="minorEastAsia" w:cstheme="minorBidi"/>
                <w:color w:val="333333"/>
                <w:sz w:val="21"/>
                <w:szCs w:val="21"/>
                <w:lang w:val="pt-BR" w:eastAsia="en-US" w:bidi="ar-SA"/>
              </w:rPr>
            </w:pPr>
            <w:r>
              <w:rPr>
                <w:color w:val="333333"/>
                <w:sz w:val="21"/>
                <w:szCs w:val="21"/>
              </w:rPr>
              <w:t>-5%</w:t>
            </w:r>
          </w:p>
        </w:tc>
      </w:tr>
      <w:tr w14:paraId="4873DC5F">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89" w:hRule="atLeast"/>
          <w:jc w:val="center"/>
        </w:trPr>
        <w:tc>
          <w:tcPr>
            <w:tcW w:w="4246" w:type="dxa"/>
            <w:tcBorders>
              <w:top w:val="single" w:color="BFBFBF" w:sz="4" w:space="0"/>
              <w:left w:val="single" w:color="BFBFBF" w:sz="4" w:space="0"/>
              <w:bottom w:val="single" w:color="BFBFBF" w:sz="4" w:space="0"/>
              <w:right w:val="single" w:color="BFBFBF" w:sz="4" w:space="0"/>
            </w:tcBorders>
            <w:vAlign w:val="center"/>
          </w:tcPr>
          <w:p w14:paraId="262473AC">
            <w:pPr>
              <w:jc w:val="center"/>
              <w:rPr>
                <w:color w:val="333333"/>
              </w:rPr>
            </w:pPr>
            <w:r>
              <w:rPr>
                <w:color w:val="333333"/>
              </w:rPr>
              <w:t>Sistema de Apoio ao Diagnostico e Terapêutica (SADT)</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5F764DEC">
            <w:pPr>
              <w:ind w:firstLine="330" w:firstLineChars="150"/>
              <w:jc w:val="center"/>
              <w:rPr>
                <w:rFonts w:asciiTheme="minorAscii" w:hAnsiTheme="minorAscii" w:eastAsiaTheme="minorEastAsia" w:cstheme="minorBidi"/>
                <w:b/>
                <w:color w:val="333333"/>
                <w:sz w:val="22"/>
                <w:szCs w:val="22"/>
                <w:lang w:val="pt-BR" w:eastAsia="en-US" w:bidi="ar-SA"/>
              </w:rPr>
            </w:pPr>
            <w:r>
              <w:rPr>
                <w:b/>
                <w:color w:val="333333"/>
              </w:rPr>
              <w:t>1.595</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589838AA">
            <w:pPr>
              <w:ind w:firstLine="330" w:firstLineChars="150"/>
              <w:jc w:val="center"/>
              <w:rPr>
                <w:rFonts w:hint="default" w:asciiTheme="minorAscii" w:hAnsiTheme="minorAscii" w:eastAsiaTheme="minorEastAsia" w:cstheme="minorBidi"/>
                <w:color w:val="333333"/>
                <w:sz w:val="22"/>
                <w:szCs w:val="22"/>
                <w:lang w:val="pt-BR" w:eastAsia="en-US" w:bidi="ar-SA"/>
              </w:rPr>
            </w:pPr>
            <w:r>
              <w:rPr>
                <w:color w:val="333333"/>
              </w:rPr>
              <w:t>2.050</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62C2BB1B">
            <w:pPr>
              <w:ind w:firstLine="330" w:firstLineChars="150"/>
              <w:jc w:val="center"/>
              <w:rPr>
                <w:rFonts w:asciiTheme="minorAscii" w:hAnsiTheme="minorAscii" w:eastAsiaTheme="minorEastAsia" w:cstheme="minorBidi"/>
                <w:color w:val="333333"/>
                <w:sz w:val="22"/>
                <w:szCs w:val="22"/>
                <w:lang w:val="pt-BR" w:eastAsia="en-US" w:bidi="ar-SA"/>
              </w:rPr>
            </w:pPr>
            <w:r>
              <w:rPr>
                <w:color w:val="333333"/>
              </w:rPr>
              <w:t>129%</w:t>
            </w:r>
          </w:p>
        </w:tc>
        <w:tc>
          <w:tcPr>
            <w:tcW w:w="98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6390E37B">
            <w:pPr>
              <w:ind w:firstLine="315" w:firstLineChars="150"/>
              <w:jc w:val="center"/>
              <w:rPr>
                <w:rFonts w:asciiTheme="minorAscii" w:hAnsiTheme="minorAscii" w:eastAsiaTheme="minorEastAsia" w:cstheme="minorBidi"/>
                <w:color w:val="333333"/>
                <w:sz w:val="21"/>
                <w:szCs w:val="21"/>
                <w:lang w:val="pt-BR" w:eastAsia="en-US" w:bidi="ar-SA"/>
              </w:rPr>
            </w:pPr>
            <w:r>
              <w:rPr>
                <w:color w:val="333333"/>
                <w:sz w:val="21"/>
                <w:szCs w:val="21"/>
              </w:rPr>
              <w:t>-29%</w:t>
            </w:r>
          </w:p>
        </w:tc>
      </w:tr>
    </w:tbl>
    <w:p w14:paraId="124B219F">
      <w:pPr>
        <w:spacing w:after="0" w:line="360" w:lineRule="auto"/>
        <w:ind w:firstLine="709"/>
        <w:jc w:val="both"/>
        <w:rPr>
          <w:rFonts w:ascii="Arial" w:hAnsi="Arial" w:cs="Arial"/>
          <w:color w:val="000000"/>
        </w:rPr>
      </w:pPr>
    </w:p>
    <w:p w14:paraId="1B62EA7F">
      <w:pPr>
        <w:pStyle w:val="21"/>
        <w:ind w:right="-567"/>
        <w:jc w:val="center"/>
        <w:rPr>
          <w:rFonts w:ascii="Arial" w:hAnsi="Arial" w:cs="Arial"/>
          <w:i w:val="0"/>
          <w:iCs w:val="0"/>
          <w:color w:val="auto"/>
        </w:rPr>
      </w:pPr>
      <w:r>
        <w:rPr>
          <w:rFonts w:ascii="Arial" w:hAnsi="Arial" w:cs="Arial"/>
          <w:i w:val="0"/>
          <w:iCs w:val="0"/>
          <w:color w:val="auto"/>
        </w:rPr>
        <w:t xml:space="preserve">Tabela 2 – </w:t>
      </w:r>
      <w:r>
        <w:rPr>
          <w:rFonts w:ascii="Arial" w:hAnsi="Arial" w:cs="Arial"/>
          <w:i w:val="0"/>
          <w:color w:val="000000" w:themeColor="text1"/>
          <w14:textFill>
            <w14:solidFill>
              <w14:schemeClr w14:val="tx1"/>
            </w14:solidFill>
          </w14:textFill>
        </w:rPr>
        <w:t>Realizado em comparação a meta por grupo-indicador</w:t>
      </w:r>
      <w:r>
        <w:rPr>
          <w:rFonts w:ascii="Arial" w:hAnsi="Arial" w:cs="Arial"/>
          <w:i w:val="0"/>
          <w:iCs w:val="0"/>
          <w:color w:val="000000" w:themeColor="text1"/>
          <w14:textFill>
            <w14:solidFill>
              <w14:schemeClr w14:val="tx1"/>
            </w14:solidFill>
          </w14:textFill>
        </w:rPr>
        <w:t xml:space="preserve"> </w:t>
      </w:r>
      <w:r>
        <w:rPr>
          <w:rFonts w:ascii="Arial" w:hAnsi="Arial" w:cs="Arial"/>
          <w:i w:val="0"/>
          <w:iCs w:val="0"/>
          <w:color w:val="auto"/>
        </w:rPr>
        <w:t>| Fonte: Faturamento</w:t>
      </w:r>
    </w:p>
    <w:p w14:paraId="26784E43">
      <w:pPr>
        <w:rPr>
          <w:sz w:val="24"/>
          <w:szCs w:val="24"/>
        </w:rPr>
      </w:pPr>
    </w:p>
    <w:p w14:paraId="379664BA">
      <w:pPr>
        <w:pStyle w:val="30"/>
        <w:numPr>
          <w:ilvl w:val="0"/>
          <w:numId w:val="10"/>
        </w:numPr>
        <w:spacing w:after="0" w:line="360" w:lineRule="auto"/>
        <w:ind w:left="142"/>
        <w:jc w:val="both"/>
        <w:rPr>
          <w:rFonts w:ascii="Arial" w:hAnsi="Arial" w:cs="Arial"/>
          <w:b/>
          <w:bCs/>
          <w:sz w:val="22"/>
          <w:szCs w:val="22"/>
        </w:rPr>
      </w:pPr>
      <w:r>
        <w:rPr>
          <w:rFonts w:ascii="Arial" w:hAnsi="Arial" w:cs="Arial"/>
          <w:b/>
          <w:bCs/>
          <w:sz w:val="22"/>
          <w:szCs w:val="22"/>
        </w:rPr>
        <w:t>É importante ressaltar que os dados apresentados nas tabelas em questão não incluem os valores finais necessários para a devida conferência de produção, podendo haver variações em números.</w:t>
      </w:r>
    </w:p>
    <w:p w14:paraId="241B04EA">
      <w:pPr>
        <w:spacing w:after="0" w:line="360" w:lineRule="auto"/>
        <w:ind w:left="-851" w:firstLine="709"/>
        <w:jc w:val="both"/>
        <w:rPr>
          <w:rFonts w:ascii="Arial" w:hAnsi="Arial" w:cs="Arial"/>
          <w:sz w:val="20"/>
          <w:szCs w:val="20"/>
        </w:rPr>
      </w:pPr>
    </w:p>
    <w:p w14:paraId="2FD0AEF8">
      <w:pPr>
        <w:pStyle w:val="5"/>
        <w:numPr>
          <w:ilvl w:val="1"/>
          <w:numId w:val="1"/>
        </w:numPr>
        <w:ind w:left="720"/>
        <w:rPr>
          <w:rFonts w:ascii="Arial" w:hAnsi="Arial" w:cs="Arial"/>
          <w:b/>
          <w:color w:val="000000" w:themeColor="text1"/>
          <w14:textFill>
            <w14:solidFill>
              <w14:schemeClr w14:val="tx1"/>
            </w14:solidFill>
          </w14:textFill>
        </w:rPr>
      </w:pPr>
      <w:bookmarkStart w:id="23" w:name="_Toc192161436"/>
      <w:bookmarkStart w:id="24" w:name="_Toc184142477"/>
      <w:r>
        <w:rPr>
          <w:rFonts w:hint="default" w:ascii="Arial" w:hAnsi="Arial" w:cs="Arial"/>
          <w:b/>
          <w:color w:val="000000" w:themeColor="text1"/>
          <w:lang w:val="pt-BR"/>
          <w14:textFill>
            <w14:solidFill>
              <w14:schemeClr w14:val="tx1"/>
            </w14:solidFill>
          </w14:textFill>
        </w:rPr>
        <w:t xml:space="preserve"> </w:t>
      </w:r>
      <w:r>
        <w:rPr>
          <w:rFonts w:ascii="Arial" w:hAnsi="Arial" w:cs="Arial"/>
          <w:b/>
          <w:color w:val="000000" w:themeColor="text1"/>
          <w14:textFill>
            <w14:solidFill>
              <w14:schemeClr w14:val="tx1"/>
            </w14:solidFill>
          </w14:textFill>
        </w:rPr>
        <w:t>Atendimento Médico Ambulatorial</w:t>
      </w:r>
      <w:bookmarkEnd w:id="23"/>
      <w:bookmarkEnd w:id="24"/>
      <w:r>
        <w:rPr>
          <w:rFonts w:ascii="Arial" w:hAnsi="Arial" w:cs="Arial"/>
          <w:b/>
          <w:color w:val="000000" w:themeColor="text1"/>
          <w14:textFill>
            <w14:solidFill>
              <w14:schemeClr w14:val="tx1"/>
            </w14:solidFill>
          </w14:textFill>
        </w:rPr>
        <w:t xml:space="preserve"> </w:t>
      </w:r>
    </w:p>
    <w:p w14:paraId="73D52DA4"/>
    <w:p w14:paraId="5018ACB6">
      <w:pPr>
        <w:tabs>
          <w:tab w:val="left" w:pos="993"/>
        </w:tabs>
        <w:spacing w:line="360" w:lineRule="auto"/>
        <w:ind w:firstLine="709"/>
        <w:jc w:val="both"/>
        <w:rPr>
          <w:rFonts w:ascii="Arial" w:hAnsi="Arial" w:cs="Arial"/>
          <w:color w:val="000000"/>
        </w:rPr>
      </w:pPr>
      <w:r>
        <w:rPr>
          <w:rFonts w:ascii="Arial" w:hAnsi="Arial" w:cs="Arial"/>
          <w:color w:val="000000"/>
        </w:rPr>
        <w:t>No mês de</w:t>
      </w:r>
      <w:r>
        <w:rPr>
          <w:rFonts w:ascii="Arial" w:hAnsi="Arial" w:cs="Arial"/>
        </w:rPr>
        <w:t xml:space="preserve"> maio</w:t>
      </w:r>
      <w:r>
        <w:rPr>
          <w:rFonts w:ascii="Arial" w:hAnsi="Arial" w:cs="Arial"/>
          <w:color w:val="000000"/>
        </w:rPr>
        <w:t xml:space="preserve"> de 2025, foram ofertadas 3.026 consultas médicas, agendadas 3.568 consultas e realizadas 3.119 consultas, correspondendo a 111% da meta proposta de </w:t>
      </w:r>
      <w:r>
        <w:rPr>
          <w:rFonts w:ascii="Arial" w:hAnsi="Arial" w:cs="Arial"/>
        </w:rPr>
        <w:t>atendimentos, que</w:t>
      </w:r>
      <w:r>
        <w:rPr>
          <w:rFonts w:ascii="Arial" w:hAnsi="Arial" w:cs="Arial"/>
          <w:color w:val="000000"/>
        </w:rPr>
        <w:t xml:space="preserve"> é de 2.800. </w:t>
      </w:r>
    </w:p>
    <w:p w14:paraId="79919759">
      <w:pPr>
        <w:tabs>
          <w:tab w:val="left" w:pos="0"/>
          <w:tab w:val="left" w:pos="993"/>
        </w:tabs>
        <w:spacing w:line="360" w:lineRule="auto"/>
        <w:rPr>
          <w:rFonts w:ascii="Arial" w:hAnsi="Arial" w:cs="Arial"/>
          <w:color w:val="000000"/>
        </w:rPr>
      </w:pPr>
      <w:r>
        <w:rPr>
          <w:rFonts w:ascii="Arial" w:hAnsi="Arial" w:cs="Arial"/>
          <w:color w:val="000000"/>
        </w:rPr>
        <w:t xml:space="preserve"> </w:t>
      </w:r>
    </w:p>
    <w:p w14:paraId="06497A2F">
      <w:pPr>
        <w:tabs>
          <w:tab w:val="left" w:pos="-220"/>
          <w:tab w:val="left" w:pos="993"/>
        </w:tabs>
        <w:spacing w:line="360" w:lineRule="auto"/>
        <w:ind w:left="0" w:leftChars="-90" w:hanging="198" w:hangingChars="90"/>
        <w:jc w:val="center"/>
      </w:pPr>
      <w:r>
        <w:drawing>
          <wp:inline distT="0" distB="0" distL="0" distR="0">
            <wp:extent cx="6524625" cy="6010275"/>
            <wp:effectExtent l="0" t="0" r="9525" b="9525"/>
            <wp:docPr id="3" name="Imagem 3"/>
            <wp:cNvGraphicFramePr/>
            <a:graphic xmlns:a="http://schemas.openxmlformats.org/drawingml/2006/main">
              <a:graphicData uri="http://schemas.openxmlformats.org/drawingml/2006/picture">
                <pic:pic xmlns:pic="http://schemas.openxmlformats.org/drawingml/2006/picture">
                  <pic:nvPicPr>
                    <pic:cNvPr id="3" name="Imagem 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528799" cy="6013590"/>
                    </a:xfrm>
                    <a:prstGeom prst="rect">
                      <a:avLst/>
                    </a:prstGeom>
                    <a:noFill/>
                    <a:ln>
                      <a:noFill/>
                    </a:ln>
                  </pic:spPr>
                </pic:pic>
              </a:graphicData>
            </a:graphic>
          </wp:inline>
        </w:drawing>
      </w:r>
    </w:p>
    <w:p w14:paraId="42BE2A5E">
      <w:pPr>
        <w:tabs>
          <w:tab w:val="left" w:pos="0"/>
          <w:tab w:val="left" w:pos="993"/>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Especialidades Médicas.</w:t>
      </w:r>
    </w:p>
    <w:p w14:paraId="43F5CA13">
      <w:pPr>
        <w:tabs>
          <w:tab w:val="left" w:pos="0"/>
          <w:tab w:val="left" w:pos="993"/>
        </w:tabs>
        <w:spacing w:line="360" w:lineRule="auto"/>
        <w:jc w:val="center"/>
        <w:rPr>
          <w:color w:val="000000" w:themeColor="text1"/>
          <w14:textFill>
            <w14:solidFill>
              <w14:schemeClr w14:val="tx1"/>
            </w14:solidFill>
          </w14:textFill>
        </w:rPr>
      </w:pPr>
    </w:p>
    <w:p w14:paraId="07B2E540">
      <w:pPr>
        <w:pStyle w:val="5"/>
        <w:numPr>
          <w:ilvl w:val="0"/>
          <w:numId w:val="0"/>
        </w:numPr>
        <w:ind w:left="720" w:hanging="360"/>
        <w:rPr>
          <w:rFonts w:ascii="Arial" w:hAnsi="Arial" w:cs="Arial"/>
          <w:b/>
          <w:color w:val="000000" w:themeColor="text1"/>
          <w14:textFill>
            <w14:solidFill>
              <w14:schemeClr w14:val="tx1"/>
            </w14:solidFill>
          </w14:textFill>
        </w:rPr>
      </w:pPr>
      <w:r>
        <w:rPr>
          <w:color w:val="000000" w:themeColor="text1"/>
          <w14:textFill>
            <w14:solidFill>
              <w14:schemeClr w14:val="tx1"/>
            </w14:solidFill>
          </w14:textFill>
        </w:rPr>
        <w:t xml:space="preserve"> </w:t>
      </w:r>
      <w:bookmarkStart w:id="25" w:name="_Toc184142478"/>
      <w:bookmarkStart w:id="26" w:name="_Toc192161437"/>
      <w:r>
        <w:rPr>
          <w:rFonts w:ascii="Arial" w:hAnsi="Arial" w:cs="Arial"/>
          <w:b/>
          <w:color w:val="000000" w:themeColor="text1"/>
          <w14:textFill>
            <w14:solidFill>
              <w14:schemeClr w14:val="tx1"/>
            </w14:solidFill>
          </w14:textFill>
        </w:rPr>
        <w:t>Atendimento não Médico Ambulatorial</w:t>
      </w:r>
      <w:bookmarkEnd w:id="25"/>
      <w:bookmarkEnd w:id="26"/>
    </w:p>
    <w:p w14:paraId="790C0379">
      <w:pPr>
        <w:spacing w:before="240" w:after="240" w:line="360" w:lineRule="auto"/>
        <w:ind w:firstLine="709"/>
        <w:jc w:val="both"/>
        <w:rPr>
          <w:rFonts w:ascii="Arial" w:hAnsi="Arial" w:cs="Arial"/>
          <w:color w:val="000000"/>
        </w:rPr>
      </w:pPr>
      <w:r>
        <w:rPr>
          <w:rFonts w:ascii="Arial" w:hAnsi="Arial" w:cs="Arial"/>
          <w:color w:val="000000"/>
        </w:rPr>
        <w:t xml:space="preserve">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instituição.O indicador de atendimento não médico ambulatorial é a quantidade de consultas ofertadas, agendadas e realizadas durante todo o mês. </w:t>
      </w:r>
    </w:p>
    <w:p w14:paraId="47E03D06">
      <w:pPr>
        <w:spacing w:before="240" w:after="240" w:line="360" w:lineRule="auto"/>
        <w:ind w:firstLine="709"/>
        <w:jc w:val="both"/>
        <w:rPr>
          <w:rFonts w:ascii="Arial" w:hAnsi="Arial" w:cs="Arial"/>
          <w:color w:val="000000"/>
        </w:rPr>
      </w:pPr>
      <w:r>
        <w:rPr>
          <w:rFonts w:ascii="Arial" w:hAnsi="Arial" w:cs="Arial"/>
          <w:color w:val="000000"/>
        </w:rPr>
        <w:t>Em maio de 2025 foi ofertado 4.692 atendimentos não médicos, agendados 2.753 consultas não médicas e realizado de 4.425 consultas não médicas, atingindo 105% da meta proposta pelo contrato de gestão, com as especialidades categorizadas em atendimentos de Enfermagem,</w:t>
      </w:r>
      <w:r>
        <w:rPr>
          <w:rFonts w:ascii="Arial" w:hAnsi="Arial" w:cs="Arial"/>
        </w:rPr>
        <w:t xml:space="preserve"> </w:t>
      </w:r>
      <w:r>
        <w:rPr>
          <w:rFonts w:ascii="Arial" w:hAnsi="Arial" w:cs="Arial"/>
          <w:color w:val="000000"/>
        </w:rPr>
        <w:t>Fisioterapia,</w:t>
      </w:r>
      <w:r>
        <w:rPr>
          <w:rFonts w:ascii="Arial" w:hAnsi="Arial" w:cs="Arial"/>
        </w:rPr>
        <w:t xml:space="preserve"> </w:t>
      </w:r>
      <w:r>
        <w:rPr>
          <w:rFonts w:ascii="Arial" w:hAnsi="Arial" w:cs="Arial"/>
          <w:color w:val="000000"/>
        </w:rPr>
        <w:t>Nutricionista, Fonoaudióloga, Psicologia e Farmácia.</w:t>
      </w:r>
    </w:p>
    <w:p w14:paraId="280DF47E">
      <w:pPr>
        <w:spacing w:after="0" w:line="360" w:lineRule="auto"/>
        <w:ind w:left="-220" w:leftChars="-100" w:firstLine="0" w:firstLineChars="0"/>
        <w:jc w:val="both"/>
        <w:rPr>
          <w:rFonts w:ascii="Arial" w:hAnsi="Arial" w:cs="Arial"/>
          <w:color w:val="000000"/>
        </w:rPr>
      </w:pPr>
      <w:r>
        <w:drawing>
          <wp:inline distT="0" distB="0" distL="0" distR="0">
            <wp:extent cx="6532245" cy="2247900"/>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537168" cy="2249530"/>
                    </a:xfrm>
                    <a:prstGeom prst="rect">
                      <a:avLst/>
                    </a:prstGeom>
                    <a:noFill/>
                    <a:ln>
                      <a:noFill/>
                    </a:ln>
                  </pic:spPr>
                </pic:pic>
              </a:graphicData>
            </a:graphic>
          </wp:inline>
        </w:drawing>
      </w:r>
    </w:p>
    <w:p w14:paraId="5C3F1AB5">
      <w:pPr>
        <w:jc w:val="center"/>
      </w:pPr>
    </w:p>
    <w:p w14:paraId="1EE2B65F">
      <w:pPr>
        <w:tabs>
          <w:tab w:val="left" w:pos="0"/>
          <w:tab w:val="left" w:pos="993"/>
        </w:tabs>
        <w:spacing w:line="360" w:lineRule="auto"/>
        <w:jc w:val="center"/>
        <w:rPr>
          <w:rFonts w:ascii="Arial" w:hAnsi="Arial" w:cs="Arial"/>
          <w:b/>
          <w:bCs/>
          <w:color w:val="000000"/>
        </w:rPr>
      </w:pPr>
    </w:p>
    <w:p w14:paraId="2CBCA53E">
      <w:pPr>
        <w:tabs>
          <w:tab w:val="left" w:pos="0"/>
          <w:tab w:val="left" w:pos="993"/>
        </w:tabs>
        <w:spacing w:line="360" w:lineRule="auto"/>
        <w:jc w:val="center"/>
        <w:rPr>
          <w:rFonts w:ascii="Arial" w:hAnsi="Arial" w:cs="Arial"/>
          <w:b/>
          <w:bCs/>
          <w:color w:val="000000"/>
        </w:rPr>
      </w:pPr>
      <w:r>
        <w:rPr>
          <w:rFonts w:ascii="Arial" w:hAnsi="Arial" w:cs="Arial"/>
          <w:b/>
          <w:bCs/>
          <w:color w:val="000000"/>
        </w:rPr>
        <w:t>Sistema de Apoio ao Diagnostico e Terapêutica (SADT)</w:t>
      </w:r>
    </w:p>
    <w:p w14:paraId="1F789A6E">
      <w:pPr>
        <w:tabs>
          <w:tab w:val="left" w:pos="0"/>
          <w:tab w:val="left" w:pos="993"/>
        </w:tabs>
        <w:spacing w:line="360" w:lineRule="auto"/>
        <w:rPr>
          <w:rFonts w:hint="default" w:ascii="Arial" w:hAnsi="Arial" w:cs="Arial"/>
          <w:b/>
          <w:bCs/>
          <w:color w:val="000000"/>
          <w:lang w:val="pt-BR"/>
        </w:rPr>
      </w:pPr>
    </w:p>
    <w:p w14:paraId="57752A84">
      <w:pPr>
        <w:tabs>
          <w:tab w:val="left" w:pos="0"/>
          <w:tab w:val="left" w:pos="993"/>
        </w:tabs>
        <w:spacing w:line="360" w:lineRule="auto"/>
        <w:ind w:left="0" w:leftChars="0" w:firstLine="440" w:firstLineChars="200"/>
        <w:jc w:val="both"/>
        <w:rPr>
          <w:rFonts w:hint="default" w:ascii="Arial" w:hAnsi="Arial" w:cs="Arial"/>
          <w:b w:val="0"/>
          <w:bCs w:val="0"/>
          <w:color w:val="000000"/>
          <w:lang w:val="pt-BR"/>
        </w:rPr>
      </w:pPr>
      <w:r>
        <w:rPr>
          <w:rFonts w:hint="default" w:ascii="Arial" w:hAnsi="Arial" w:cs="Arial"/>
          <w:b w:val="0"/>
          <w:bCs w:val="0"/>
          <w:color w:val="000000"/>
          <w:lang w:val="pt-BR"/>
        </w:rPr>
        <w:t>O Sistema de Apoio ao Diagnostico e Terapêutica (SADT) é de extrema importância na nossa unidade de saúde, pois ele contribui significamente para o diagnóstico e tratamento dos pacientes.</w:t>
      </w:r>
    </w:p>
    <w:p w14:paraId="796906D4">
      <w:pPr>
        <w:tabs>
          <w:tab w:val="left" w:pos="0"/>
          <w:tab w:val="left" w:pos="993"/>
        </w:tabs>
        <w:spacing w:line="360" w:lineRule="auto"/>
        <w:ind w:left="0" w:leftChars="0" w:firstLine="440" w:firstLineChars="200"/>
        <w:jc w:val="both"/>
        <w:rPr>
          <w:rFonts w:hint="default" w:ascii="Arial" w:hAnsi="Arial" w:cs="Arial"/>
          <w:b w:val="0"/>
          <w:bCs w:val="0"/>
          <w:color w:val="000000"/>
          <w:lang w:val="pt-BR"/>
        </w:rPr>
      </w:pPr>
      <w:r>
        <w:rPr>
          <w:rFonts w:hint="default" w:ascii="Arial" w:hAnsi="Arial" w:cs="Arial"/>
          <w:b w:val="0"/>
          <w:bCs w:val="0"/>
          <w:color w:val="000000"/>
          <w:lang w:val="pt-BR"/>
        </w:rPr>
        <w:t>Por meio desse sistema é possível realizar diversos exames e procedimentos complementares que fornecem informações para a correta avaliação médica.</w:t>
      </w:r>
    </w:p>
    <w:p w14:paraId="0089D074">
      <w:pPr>
        <w:tabs>
          <w:tab w:val="left" w:pos="0"/>
          <w:tab w:val="left" w:pos="993"/>
        </w:tabs>
        <w:spacing w:line="360" w:lineRule="auto"/>
        <w:ind w:left="0" w:leftChars="0" w:firstLine="440" w:firstLineChars="200"/>
        <w:jc w:val="both"/>
        <w:rPr>
          <w:rFonts w:hint="default" w:ascii="Arial" w:hAnsi="Arial" w:cs="Arial"/>
          <w:b w:val="0"/>
          <w:bCs w:val="0"/>
          <w:color w:val="000000"/>
          <w:lang w:val="pt-BR"/>
        </w:rPr>
      </w:pPr>
    </w:p>
    <w:p w14:paraId="7A1ACC70">
      <w:pPr>
        <w:tabs>
          <w:tab w:val="left" w:pos="0"/>
          <w:tab w:val="left" w:pos="993"/>
        </w:tabs>
        <w:spacing w:line="360" w:lineRule="auto"/>
        <w:ind w:left="0" w:leftChars="0" w:firstLine="440" w:firstLineChars="200"/>
        <w:jc w:val="both"/>
        <w:rPr>
          <w:rFonts w:hint="default" w:ascii="Arial" w:hAnsi="Arial" w:cs="Arial"/>
          <w:b w:val="0"/>
          <w:bCs w:val="0"/>
          <w:color w:val="000000" w:themeColor="text1"/>
          <w:lang w:val="pt-BR"/>
          <w14:textFill>
            <w14:solidFill>
              <w14:schemeClr w14:val="tx1"/>
            </w14:solidFill>
          </w14:textFill>
        </w:rPr>
      </w:pPr>
      <w:r>
        <w:rPr>
          <w:rFonts w:hint="default" w:ascii="Arial" w:hAnsi="Arial" w:cs="Arial"/>
          <w:b w:val="0"/>
          <w:bCs w:val="0"/>
          <w:color w:val="000000"/>
          <w:lang w:val="pt-BR"/>
        </w:rPr>
        <w:t>O SADT é fundamental para auxiliar os profissionais de saúde na identificação de doenças, acompanhamento e monitoramento de possíveis complicações, a</w:t>
      </w:r>
      <w:r>
        <w:rPr>
          <w:rFonts w:hint="default" w:ascii="Arial" w:hAnsi="Arial" w:cs="Arial"/>
          <w:b w:val="0"/>
          <w:bCs w:val="0"/>
          <w:color w:val="000000" w:themeColor="text1"/>
          <w:lang w:val="pt-BR"/>
          <w14:textFill>
            <w14:solidFill>
              <w14:schemeClr w14:val="tx1"/>
            </w14:solidFill>
          </w14:textFill>
        </w:rPr>
        <w:t xml:space="preserve">lém disso, ele contribui para a agilidade e eficiência no atendimento, possibilitando um diagnostico mais preciso e consequentemente um  tratamento mais adequado. </w:t>
      </w:r>
    </w:p>
    <w:p w14:paraId="552517BF">
      <w:pPr>
        <w:tabs>
          <w:tab w:val="left" w:pos="0"/>
          <w:tab w:val="left" w:pos="993"/>
        </w:tabs>
        <w:spacing w:line="360" w:lineRule="auto"/>
        <w:ind w:left="0" w:leftChars="0" w:firstLine="440" w:firstLineChars="200"/>
        <w:jc w:val="both"/>
        <w:rPr>
          <w:rFonts w:hint="default" w:ascii="Arial" w:hAnsi="Arial" w:cs="Arial"/>
          <w:b w:val="0"/>
          <w:bCs w:val="0"/>
          <w:color w:val="000000" w:themeColor="text1"/>
          <w:lang w:val="pt-BR"/>
          <w14:textFill>
            <w14:solidFill>
              <w14:schemeClr w14:val="tx1"/>
            </w14:solidFill>
          </w14:textFill>
        </w:rPr>
      </w:pPr>
      <w:r>
        <w:rPr>
          <w:rFonts w:hint="default" w:ascii="Arial" w:hAnsi="Arial" w:cs="Arial"/>
          <w:b w:val="0"/>
          <w:bCs w:val="0"/>
          <w:color w:val="000000" w:themeColor="text1"/>
          <w:lang w:val="pt-BR"/>
          <w14:textFill>
            <w14:solidFill>
              <w14:schemeClr w14:val="tx1"/>
            </w14:solidFill>
          </w14:textFill>
        </w:rPr>
        <w:t>Na unidade de saúde, a integração do SADT com outros setores e profissionais é essencial para garantir a qualidade da assistencia prestada aos pacientes, com a disponibilidade de exames e procedimentos variados, é possível oferecer um cuidado mais completo e personalizado, atendendo ás necessidades especificas de cada individuo.</w:t>
      </w:r>
    </w:p>
    <w:p w14:paraId="3C110A2C">
      <w:pPr>
        <w:tabs>
          <w:tab w:val="left" w:pos="0"/>
          <w:tab w:val="left" w:pos="993"/>
        </w:tabs>
        <w:spacing w:line="360" w:lineRule="auto"/>
        <w:ind w:left="0" w:leftChars="0" w:firstLine="440" w:firstLineChars="200"/>
        <w:jc w:val="both"/>
        <w:rPr>
          <w:rFonts w:hint="default" w:ascii="Arial" w:hAnsi="Arial" w:cs="Arial"/>
          <w:b w:val="0"/>
          <w:bCs w:val="0"/>
          <w:color w:val="000000" w:themeColor="text1"/>
          <w:lang w:val="pt-BR"/>
          <w14:textFill>
            <w14:solidFill>
              <w14:schemeClr w14:val="tx1"/>
            </w14:solidFill>
          </w14:textFill>
        </w:rPr>
      </w:pPr>
    </w:p>
    <w:p w14:paraId="343B297C">
      <w:pPr>
        <w:tabs>
          <w:tab w:val="left" w:pos="0"/>
          <w:tab w:val="left" w:pos="993"/>
        </w:tabs>
        <w:spacing w:line="360" w:lineRule="auto"/>
        <w:ind w:left="0" w:leftChars="0" w:firstLine="440" w:firstLineChars="200"/>
        <w:jc w:val="both"/>
        <w:rPr>
          <w:rFonts w:hint="default" w:ascii="Arial" w:hAnsi="Arial" w:cs="Arial"/>
          <w:b w:val="0"/>
          <w:bCs w:val="0"/>
          <w:color w:val="000000" w:themeColor="text1"/>
          <w:lang w:val="pt-BR"/>
          <w14:textFill>
            <w14:solidFill>
              <w14:schemeClr w14:val="tx1"/>
            </w14:solidFill>
          </w14:textFill>
        </w:rPr>
      </w:pPr>
      <w:r>
        <w:rPr>
          <w:rFonts w:hint="default" w:ascii="Arial" w:hAnsi="Arial" w:cs="Arial"/>
          <w:b w:val="0"/>
          <w:bCs w:val="0"/>
          <w:color w:val="000000" w:themeColor="text1"/>
          <w:lang w:val="pt-BR"/>
          <w14:textFill>
            <w14:solidFill>
              <w14:schemeClr w14:val="tx1"/>
            </w14:solidFill>
          </w14:textFill>
        </w:rPr>
        <w:t>Em maio foi realizado 2.050 exames atingindo 129% da meta proposta pelo contrato de gestão, com  as especialidades categorizadas em atendimentos de radiologia e imagem.</w:t>
      </w:r>
    </w:p>
    <w:p w14:paraId="49737AF8">
      <w:pPr>
        <w:tabs>
          <w:tab w:val="left" w:pos="0"/>
          <w:tab w:val="left" w:pos="993"/>
        </w:tabs>
        <w:spacing w:line="360" w:lineRule="auto"/>
        <w:ind w:left="0" w:leftChars="0" w:firstLine="440" w:firstLineChars="200"/>
        <w:jc w:val="both"/>
        <w:rPr>
          <w:rFonts w:hint="default" w:ascii="Arial" w:hAnsi="Arial" w:cs="Arial"/>
          <w:b w:val="0"/>
          <w:bCs w:val="0"/>
          <w:color w:val="000000" w:themeColor="text1"/>
          <w:lang w:val="pt-BR"/>
          <w14:textFill>
            <w14:solidFill>
              <w14:schemeClr w14:val="tx1"/>
            </w14:solidFill>
          </w14:textFill>
        </w:rPr>
      </w:pPr>
    </w:p>
    <w:p w14:paraId="0426E7C1">
      <w:pPr>
        <w:tabs>
          <w:tab w:val="left" w:pos="0"/>
          <w:tab w:val="left" w:pos="993"/>
        </w:tabs>
        <w:spacing w:after="0" w:line="360" w:lineRule="auto"/>
        <w:ind w:firstLine="992"/>
        <w:jc w:val="both"/>
        <w:rPr>
          <w:rFonts w:ascii="Arial" w:hAnsi="Arial" w:cs="Arial"/>
          <w:color w:val="000000"/>
        </w:rPr>
      </w:pPr>
      <w:r>
        <w:rPr>
          <w:rFonts w:ascii="Arial" w:hAnsi="Arial" w:cs="Arial"/>
          <w:color w:val="181C27"/>
          <w:szCs w:val="27"/>
          <w:shd w:val="clear" w:color="auto" w:fill="F5F5F5"/>
        </w:rPr>
        <w:t xml:space="preserve"> </w:t>
      </w:r>
      <w:r>
        <w:drawing>
          <wp:inline distT="0" distB="0" distL="0" distR="0">
            <wp:extent cx="5745480" cy="6777990"/>
            <wp:effectExtent l="0" t="0" r="762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45480" cy="6777990"/>
                    </a:xfrm>
                    <a:prstGeom prst="rect">
                      <a:avLst/>
                    </a:prstGeom>
                    <a:noFill/>
                    <a:ln>
                      <a:noFill/>
                    </a:ln>
                  </pic:spPr>
                </pic:pic>
              </a:graphicData>
            </a:graphic>
          </wp:inline>
        </w:drawing>
      </w:r>
    </w:p>
    <w:p w14:paraId="565731DC">
      <w:pPr>
        <w:tabs>
          <w:tab w:val="left" w:pos="0"/>
          <w:tab w:val="left" w:pos="993"/>
        </w:tabs>
        <w:spacing w:line="360" w:lineRule="auto"/>
        <w:rPr>
          <w:rFonts w:ascii="Arial" w:hAnsi="Arial" w:cs="Arial"/>
          <w:color w:val="000000"/>
        </w:rPr>
      </w:pPr>
    </w:p>
    <w:p w14:paraId="1AE8328C">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27" w:name="_Toc158119984"/>
      <w:bookmarkStart w:id="28" w:name="_Toc192161438"/>
      <w:r>
        <w:rPr>
          <w:rFonts w:ascii="Arial" w:hAnsi="Arial" w:cs="Arial"/>
          <w:b/>
          <w:bCs/>
          <w:color w:val="000000" w:themeColor="text1"/>
          <w:sz w:val="22"/>
          <w:szCs w:val="22"/>
          <w:shd w:val="clear" w:color="auto" w:fill="FFFFFF"/>
          <w14:textFill>
            <w14:solidFill>
              <w14:schemeClr w14:val="tx1"/>
            </w14:solidFill>
          </w14:textFill>
        </w:rPr>
        <w:t>Serviço Especializado em Segurança e Medicina do Trabalho (SESMT)</w:t>
      </w:r>
      <w:bookmarkEnd w:id="27"/>
      <w:bookmarkEnd w:id="28"/>
    </w:p>
    <w:p w14:paraId="05657E81">
      <w:pPr>
        <w:spacing w:before="240" w:after="240" w:line="360" w:lineRule="auto"/>
        <w:ind w:left="-993" w:right="-568" w:firstLine="708"/>
        <w:jc w:val="both"/>
        <w:rPr>
          <w:rFonts w:ascii="Arial" w:hAnsi="Arial" w:cs="Arial"/>
          <w:bCs/>
          <w:shd w:val="clear" w:color="auto" w:fill="FFFFFF"/>
        </w:rPr>
      </w:pPr>
    </w:p>
    <w:p w14:paraId="3DD5C6BD">
      <w:pPr>
        <w:spacing w:before="240" w:after="240" w:line="360" w:lineRule="auto"/>
        <w:ind w:left="0" w:leftChars="0" w:right="-568" w:firstLine="440" w:firstLineChars="200"/>
        <w:jc w:val="both"/>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5ECDEF8F">
      <w:pPr>
        <w:shd w:val="clear" w:color="auto" w:fill="FFFFFF"/>
        <w:spacing w:before="240" w:after="0" w:line="360" w:lineRule="auto"/>
        <w:ind w:left="0" w:leftChars="0" w:right="-568" w:firstLine="440" w:firstLineChars="200"/>
        <w:jc w:val="both"/>
        <w:rPr>
          <w:rFonts w:ascii="Arial" w:hAnsi="Arial" w:cs="Arial"/>
        </w:rPr>
      </w:pPr>
      <w:r>
        <w:rPr>
          <w:rFonts w:ascii="Arial" w:hAnsi="Arial" w:cs="Arial"/>
        </w:rPr>
        <w:t>O SESMT é composto por:</w:t>
      </w:r>
    </w:p>
    <w:p w14:paraId="1B1C2183">
      <w:pPr>
        <w:pStyle w:val="30"/>
        <w:numPr>
          <w:ilvl w:val="0"/>
          <w:numId w:val="11"/>
        </w:numPr>
        <w:spacing w:before="240" w:line="360" w:lineRule="auto"/>
        <w:ind w:left="0" w:leftChars="0" w:firstLine="440" w:firstLineChars="200"/>
        <w:jc w:val="both"/>
        <w:rPr>
          <w:rFonts w:ascii="Arial" w:hAnsi="Arial" w:cs="Arial"/>
        </w:rPr>
      </w:pPr>
      <w:r>
        <w:rPr>
          <w:rFonts w:ascii="Arial" w:hAnsi="Arial" w:cs="Arial"/>
        </w:rPr>
        <w:t>1 Técnico em Segurança do Trabalho.</w:t>
      </w:r>
    </w:p>
    <w:p w14:paraId="4CA27AB6">
      <w:pPr>
        <w:spacing w:before="240" w:line="360" w:lineRule="auto"/>
        <w:ind w:left="0" w:leftChars="0" w:firstLine="440" w:firstLineChars="200"/>
        <w:jc w:val="both"/>
        <w:rPr>
          <w:rFonts w:ascii="Arial" w:hAnsi="Arial" w:cs="Arial"/>
        </w:rPr>
      </w:pPr>
      <w:r>
        <w:rPr>
          <w:rFonts w:ascii="Arial" w:hAnsi="Arial" w:cs="Arial"/>
          <w:bCs/>
        </w:rPr>
        <w:t>Entre suas principais atribuições podemos citar:</w:t>
      </w:r>
    </w:p>
    <w:p w14:paraId="104A854A">
      <w:pPr>
        <w:pStyle w:val="4"/>
        <w:numPr>
          <w:ilvl w:val="0"/>
          <w:numId w:val="11"/>
        </w:numPr>
        <w:spacing w:line="360" w:lineRule="auto"/>
        <w:ind w:left="0" w:leftChars="0" w:firstLine="440" w:firstLineChars="200"/>
        <w:rPr>
          <w:rFonts w:ascii="Arial" w:hAnsi="Arial" w:cs="Arial"/>
        </w:rPr>
      </w:pPr>
      <w:r>
        <w:rPr>
          <w:rFonts w:ascii="Arial" w:hAnsi="Arial" w:cs="Arial"/>
        </w:rPr>
        <w:t>Inspeções de área com o objetivo de identificar e prevenir riscos;</w:t>
      </w:r>
    </w:p>
    <w:p w14:paraId="15E83450">
      <w:pPr>
        <w:pStyle w:val="4"/>
        <w:numPr>
          <w:ilvl w:val="0"/>
          <w:numId w:val="11"/>
        </w:numPr>
        <w:spacing w:line="360" w:lineRule="auto"/>
        <w:ind w:left="0" w:leftChars="0" w:firstLine="440" w:firstLineChars="200"/>
        <w:rPr>
          <w:rFonts w:ascii="Arial" w:hAnsi="Arial" w:cs="Arial"/>
        </w:rPr>
      </w:pPr>
      <w:r>
        <w:rPr>
          <w:rFonts w:ascii="Arial" w:hAnsi="Arial" w:cs="Arial"/>
        </w:rPr>
        <w:t>Inspecionar, orientar e fornecer Equipamentos de Proteção individual (EPI);</w:t>
      </w:r>
    </w:p>
    <w:p w14:paraId="082B9F08">
      <w:pPr>
        <w:pStyle w:val="4"/>
        <w:numPr>
          <w:ilvl w:val="0"/>
          <w:numId w:val="11"/>
        </w:numPr>
        <w:spacing w:line="360" w:lineRule="auto"/>
        <w:ind w:left="0" w:leftChars="0" w:firstLine="440" w:firstLineChars="200"/>
        <w:rPr>
          <w:rFonts w:ascii="Arial" w:hAnsi="Arial" w:cs="Arial"/>
        </w:rPr>
      </w:pPr>
      <w:r>
        <w:rPr>
          <w:rFonts w:ascii="Arial" w:hAnsi="Arial" w:cs="Arial"/>
        </w:rPr>
        <w:t>Realizar treinamentos de saúde e segurança;</w:t>
      </w:r>
    </w:p>
    <w:p w14:paraId="0C80B1B4">
      <w:pPr>
        <w:pStyle w:val="4"/>
        <w:numPr>
          <w:ilvl w:val="0"/>
          <w:numId w:val="11"/>
        </w:numPr>
        <w:spacing w:line="360" w:lineRule="auto"/>
        <w:ind w:left="0" w:leftChars="0" w:firstLine="440" w:firstLineChars="200"/>
        <w:rPr>
          <w:rFonts w:ascii="Arial" w:hAnsi="Arial" w:cs="Arial"/>
        </w:rPr>
      </w:pPr>
      <w:r>
        <w:rPr>
          <w:rFonts w:ascii="Arial" w:hAnsi="Arial" w:cs="Arial"/>
        </w:rPr>
        <w:t>Investigar acidentes e elaborar planos de ação;</w:t>
      </w:r>
    </w:p>
    <w:p w14:paraId="402DF7EB">
      <w:pPr>
        <w:pStyle w:val="4"/>
        <w:numPr>
          <w:ilvl w:val="0"/>
          <w:numId w:val="11"/>
        </w:numPr>
        <w:spacing w:line="360" w:lineRule="auto"/>
        <w:ind w:left="0" w:leftChars="0" w:firstLine="440" w:firstLineChars="200"/>
        <w:rPr>
          <w:rFonts w:ascii="Arial" w:hAnsi="Arial" w:cs="Arial"/>
        </w:rPr>
      </w:pPr>
      <w:r>
        <w:rPr>
          <w:rFonts w:ascii="Arial" w:hAnsi="Arial" w:cs="Arial"/>
        </w:rPr>
        <w:t>Atender a legislação vigente;</w:t>
      </w:r>
    </w:p>
    <w:p w14:paraId="3E8CCEAF">
      <w:pPr>
        <w:pStyle w:val="4"/>
        <w:numPr>
          <w:ilvl w:val="0"/>
          <w:numId w:val="11"/>
        </w:numPr>
        <w:spacing w:line="360" w:lineRule="auto"/>
        <w:ind w:left="0" w:leftChars="0" w:firstLine="440" w:firstLineChars="200"/>
        <w:rPr>
          <w:rFonts w:ascii="Arial" w:hAnsi="Arial" w:cs="Arial"/>
        </w:rPr>
      </w:pPr>
      <w:r>
        <w:rPr>
          <w:rFonts w:ascii="Arial" w:hAnsi="Arial" w:cs="Arial"/>
        </w:rPr>
        <w:t>Ações de conscientização sobre saúde e segurança;</w:t>
      </w:r>
    </w:p>
    <w:p w14:paraId="3AE1E106">
      <w:pPr>
        <w:pStyle w:val="4"/>
        <w:numPr>
          <w:ilvl w:val="0"/>
          <w:numId w:val="11"/>
        </w:numPr>
        <w:spacing w:line="360" w:lineRule="auto"/>
        <w:ind w:left="0" w:leftChars="0" w:firstLine="440" w:firstLineChars="200"/>
        <w:rPr>
          <w:rFonts w:ascii="Arial" w:hAnsi="Arial" w:cs="Arial"/>
        </w:rPr>
      </w:pPr>
      <w:r>
        <w:rPr>
          <w:rFonts w:ascii="Arial" w:hAnsi="Arial" w:cs="Arial"/>
        </w:rPr>
        <w:t>Controle e inspeção do sistema de combate a incêndio;</w:t>
      </w:r>
    </w:p>
    <w:p w14:paraId="068267AB">
      <w:pPr>
        <w:pStyle w:val="4"/>
        <w:numPr>
          <w:ilvl w:val="0"/>
          <w:numId w:val="11"/>
        </w:numPr>
        <w:spacing w:line="360" w:lineRule="auto"/>
        <w:ind w:left="0" w:leftChars="0" w:firstLine="440" w:firstLineChars="200"/>
        <w:rPr>
          <w:rFonts w:ascii="Arial" w:hAnsi="Arial" w:cs="Arial"/>
        </w:rPr>
      </w:pPr>
      <w:r>
        <w:rPr>
          <w:rFonts w:ascii="Arial" w:hAnsi="Arial" w:cs="Arial"/>
        </w:rPr>
        <w:t>Recebimento de atestado;</w:t>
      </w:r>
    </w:p>
    <w:p w14:paraId="53CFBF58">
      <w:pPr>
        <w:pStyle w:val="4"/>
        <w:numPr>
          <w:ilvl w:val="0"/>
          <w:numId w:val="11"/>
        </w:numPr>
        <w:spacing w:line="360" w:lineRule="auto"/>
        <w:ind w:left="0" w:leftChars="0" w:firstLine="440" w:firstLineChars="200"/>
        <w:rPr>
          <w:rFonts w:ascii="Arial" w:hAnsi="Arial" w:cs="Arial"/>
        </w:rPr>
      </w:pPr>
      <w:r>
        <w:rPr>
          <w:rFonts w:ascii="Arial" w:hAnsi="Arial" w:cs="Arial"/>
        </w:rPr>
        <w:t>Realização de exames ocupacionais;</w:t>
      </w:r>
    </w:p>
    <w:p w14:paraId="63EC83F5">
      <w:pPr>
        <w:pStyle w:val="4"/>
        <w:numPr>
          <w:ilvl w:val="0"/>
          <w:numId w:val="11"/>
        </w:numPr>
        <w:spacing w:line="360" w:lineRule="auto"/>
        <w:ind w:left="0" w:leftChars="0" w:firstLine="440" w:firstLineChars="200"/>
        <w:rPr>
          <w:rFonts w:ascii="Arial" w:hAnsi="Arial" w:cs="Arial"/>
        </w:rPr>
      </w:pPr>
      <w:r>
        <w:rPr>
          <w:rFonts w:ascii="Arial" w:hAnsi="Arial" w:cs="Arial"/>
        </w:rPr>
        <w:t>Indicadores de saúde e segurança;</w:t>
      </w:r>
    </w:p>
    <w:p w14:paraId="038F4AEA">
      <w:pPr>
        <w:pStyle w:val="4"/>
        <w:numPr>
          <w:ilvl w:val="0"/>
          <w:numId w:val="11"/>
        </w:numPr>
        <w:spacing w:line="360" w:lineRule="auto"/>
        <w:ind w:left="0" w:leftChars="0" w:firstLine="440" w:firstLineChars="200"/>
        <w:rPr>
          <w:rFonts w:ascii="Arial" w:hAnsi="Arial" w:cs="Arial"/>
        </w:rPr>
      </w:pPr>
      <w:r>
        <w:rPr>
          <w:rFonts w:ascii="Arial" w:hAnsi="Arial" w:cs="Arial"/>
        </w:rPr>
        <w:t>Saúde e segurança com empresas terceirizadas;</w:t>
      </w:r>
    </w:p>
    <w:p w14:paraId="2B399E9E">
      <w:pPr>
        <w:pStyle w:val="4"/>
        <w:numPr>
          <w:ilvl w:val="0"/>
          <w:numId w:val="11"/>
        </w:numPr>
        <w:spacing w:line="360" w:lineRule="auto"/>
        <w:ind w:left="0" w:leftChars="0" w:firstLine="440" w:firstLineChars="200"/>
        <w:rPr>
          <w:rFonts w:ascii="Arial" w:hAnsi="Arial" w:cs="Arial"/>
        </w:rPr>
      </w:pPr>
      <w:r>
        <w:rPr>
          <w:rFonts w:ascii="Arial" w:hAnsi="Arial" w:cs="Arial"/>
        </w:rPr>
        <w:t>Auxilio em ações da Comissão Interna de Prevenção de Acidentes (CIPA);</w:t>
      </w:r>
    </w:p>
    <w:p w14:paraId="2D7BA0A7">
      <w:pPr>
        <w:spacing w:line="360" w:lineRule="auto"/>
        <w:ind w:left="0" w:leftChars="0" w:right="-1136" w:firstLine="440" w:firstLineChars="200"/>
        <w:rPr>
          <w:rFonts w:ascii="Arial" w:hAnsi="Arial" w:cs="Arial"/>
        </w:rPr>
      </w:pPr>
    </w:p>
    <w:p w14:paraId="3B517710">
      <w:pPr>
        <w:spacing w:line="360" w:lineRule="auto"/>
        <w:ind w:left="0" w:leftChars="0" w:right="-1136" w:firstLine="440" w:firstLineChars="200"/>
        <w:rPr>
          <w:rFonts w:ascii="Arial" w:hAnsi="Arial" w:cs="Arial"/>
        </w:rPr>
      </w:pPr>
      <w:r>
        <w:rPr>
          <w:rFonts w:ascii="Arial" w:hAnsi="Arial" w:cs="Arial"/>
        </w:rPr>
        <w:t>Sistema de combate a incêndio da unidade é composto por:</w:t>
      </w:r>
    </w:p>
    <w:p w14:paraId="3F5171A9">
      <w:pPr>
        <w:pStyle w:val="30"/>
        <w:numPr>
          <w:ilvl w:val="0"/>
          <w:numId w:val="12"/>
        </w:numPr>
        <w:spacing w:line="360" w:lineRule="auto"/>
        <w:ind w:left="0" w:leftChars="0" w:right="-1136" w:firstLine="440" w:firstLineChars="200"/>
        <w:rPr>
          <w:rFonts w:ascii="Arial" w:hAnsi="Arial" w:cs="Arial"/>
        </w:rPr>
      </w:pPr>
      <w:r>
        <w:rPr>
          <w:rFonts w:ascii="Arial" w:hAnsi="Arial" w:cs="Arial"/>
        </w:rPr>
        <w:t>Sistema de alarme sonoro;</w:t>
      </w:r>
    </w:p>
    <w:p w14:paraId="328239DC">
      <w:pPr>
        <w:pStyle w:val="30"/>
        <w:numPr>
          <w:ilvl w:val="0"/>
          <w:numId w:val="12"/>
        </w:numPr>
        <w:spacing w:line="360" w:lineRule="auto"/>
        <w:ind w:left="0" w:leftChars="0" w:right="-1136" w:firstLine="440" w:firstLineChars="200"/>
        <w:rPr>
          <w:rFonts w:ascii="Arial" w:hAnsi="Arial" w:cs="Arial"/>
        </w:rPr>
      </w:pPr>
      <w:r>
        <w:rPr>
          <w:rFonts w:ascii="Arial" w:hAnsi="Arial" w:cs="Arial"/>
        </w:rPr>
        <w:t>Sistema de luz de emergência;</w:t>
      </w:r>
    </w:p>
    <w:p w14:paraId="48F2821D">
      <w:pPr>
        <w:pStyle w:val="30"/>
        <w:numPr>
          <w:ilvl w:val="0"/>
          <w:numId w:val="12"/>
        </w:numPr>
        <w:spacing w:line="360" w:lineRule="auto"/>
        <w:ind w:left="0" w:leftChars="0" w:right="-1136" w:firstLine="440" w:firstLineChars="200"/>
        <w:rPr>
          <w:rFonts w:ascii="Arial" w:hAnsi="Arial" w:cs="Arial"/>
        </w:rPr>
      </w:pPr>
      <w:r>
        <w:rPr>
          <w:rFonts w:ascii="Arial" w:hAnsi="Arial" w:cs="Arial"/>
        </w:rPr>
        <w:t>Sistema de 05 Hidratantes com acionamento de alarme;</w:t>
      </w:r>
    </w:p>
    <w:p w14:paraId="1A768088">
      <w:pPr>
        <w:pStyle w:val="30"/>
        <w:numPr>
          <w:ilvl w:val="0"/>
          <w:numId w:val="12"/>
        </w:numPr>
        <w:spacing w:line="360" w:lineRule="auto"/>
        <w:ind w:left="0" w:leftChars="0" w:right="-1136" w:firstLine="440" w:firstLineChars="200"/>
        <w:rPr>
          <w:rFonts w:ascii="Arial" w:hAnsi="Arial" w:cs="Arial"/>
        </w:rPr>
      </w:pPr>
      <w:r>
        <w:rPr>
          <w:rFonts w:ascii="Arial" w:hAnsi="Arial" w:cs="Arial"/>
        </w:rPr>
        <w:t>Extintores de incêndios (18 unidades distribuídos na unidade entre extintores (PQS 6KG, PQS 4KG, AP 10 LT, CO2 6KG) conforme necessidade prevista.</w:t>
      </w:r>
    </w:p>
    <w:p w14:paraId="076E605B">
      <w:pPr>
        <w:pStyle w:val="16"/>
        <w:numPr>
          <w:ilvl w:val="0"/>
          <w:numId w:val="0"/>
        </w:numPr>
        <w:spacing w:line="360" w:lineRule="auto"/>
        <w:ind w:left="0" w:leftChars="0" w:firstLine="400" w:firstLineChars="200"/>
        <w:rPr>
          <w:rFonts w:ascii="Arial" w:hAnsi="Arial" w:cs="Arial"/>
          <w:b w:val="0"/>
          <w:bCs w:val="0"/>
          <w:sz w:val="22"/>
          <w:szCs w:val="22"/>
        </w:rPr>
      </w:pPr>
      <w:r>
        <w:rPr>
          <w:color w:val="000000" w:themeColor="text1"/>
          <w:sz w:val="22"/>
          <w:szCs w:val="22"/>
          <w14:textFill>
            <w14:solidFill>
              <w14:schemeClr w14:val="tx1"/>
            </w14:solidFill>
          </w14:textFill>
        </w:rPr>
        <w:t xml:space="preserve">                     </w:t>
      </w:r>
      <w:r>
        <w:rPr>
          <w:rFonts w:ascii="Arial" w:hAnsi="Arial" w:cs="Arial"/>
          <w:b w:val="0"/>
          <w:bCs w:val="0"/>
          <w:sz w:val="22"/>
          <w:szCs w:val="22"/>
        </w:rPr>
        <w:t xml:space="preserve">No mês de </w:t>
      </w:r>
      <w:r>
        <w:rPr>
          <w:rFonts w:hint="default" w:ascii="Arial" w:hAnsi="Arial" w:cs="Arial"/>
          <w:b w:val="0"/>
          <w:bCs w:val="0"/>
          <w:sz w:val="22"/>
          <w:szCs w:val="22"/>
          <w:lang w:val="pt-BR"/>
        </w:rPr>
        <w:t>maio</w:t>
      </w:r>
      <w:r>
        <w:rPr>
          <w:rFonts w:ascii="Arial" w:hAnsi="Arial" w:cs="Arial"/>
          <w:b w:val="0"/>
          <w:bCs w:val="0"/>
          <w:sz w:val="22"/>
          <w:szCs w:val="22"/>
        </w:rPr>
        <w:t>/2025, o Serviço Especializado em Segurança e em Medicina do Trabalho (SESMT), realizou as seguintes ações:</w:t>
      </w:r>
    </w:p>
    <w:p w14:paraId="47F56E72"/>
    <w:p w14:paraId="16F74CEA">
      <w:bookmarkStart w:id="46" w:name="_GoBack"/>
      <w:bookmarkEnd w:id="46"/>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3"/>
        <w:gridCol w:w="2994"/>
      </w:tblGrid>
      <w:tr w14:paraId="44AD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3" w:type="dxa"/>
            <w:tcBorders>
              <w:top w:val="single" w:color="auto" w:sz="4" w:space="0"/>
              <w:left w:val="single" w:color="auto" w:sz="4" w:space="0"/>
              <w:bottom w:val="single" w:color="auto" w:sz="4" w:space="0"/>
              <w:right w:val="nil"/>
            </w:tcBorders>
            <w:shd w:val="clear" w:color="auto" w:fill="002060"/>
          </w:tcPr>
          <w:p w14:paraId="33763C15">
            <w:pPr>
              <w:spacing w:after="0" w:line="240" w:lineRule="auto"/>
              <w:jc w:val="right"/>
              <w:rPr>
                <w:rFonts w:ascii="Arial" w:hAnsi="Arial" w:cs="Arial"/>
                <w:b/>
                <w:bCs/>
                <w14:textOutline w14:w="9525" w14:cap="flat" w14:cmpd="sng" w14:algn="ctr">
                  <w14:solidFill>
                    <w14:srgbClr w14:val="000000"/>
                  </w14:solidFill>
                  <w14:prstDash w14:val="solid"/>
                  <w14:round/>
                </w14:textOutline>
              </w:rPr>
            </w:pPr>
            <w:bookmarkStart w:id="29" w:name="_Toc174024172"/>
            <w:r>
              <w:rPr>
                <w:rFonts w:ascii="Arial" w:hAnsi="Arial" w:cs="Arial"/>
                <w:b/>
                <w:bCs/>
              </w:rPr>
              <w:t xml:space="preserve">       AÇÕES REALIZADAS</w:t>
            </w:r>
          </w:p>
        </w:tc>
        <w:tc>
          <w:tcPr>
            <w:tcW w:w="2994" w:type="dxa"/>
            <w:tcBorders>
              <w:left w:val="nil"/>
            </w:tcBorders>
            <w:shd w:val="clear" w:color="auto" w:fill="002060"/>
          </w:tcPr>
          <w:p w14:paraId="59EBC339">
            <w:pPr>
              <w:spacing w:after="0" w:line="240" w:lineRule="auto"/>
              <w:jc w:val="center"/>
              <w:rPr>
                <w:rFonts w:ascii="Arial" w:hAnsi="Arial" w:cs="Arial"/>
                <w:b/>
                <w:bCs/>
                <w14:textOutline w14:w="9525" w14:cap="flat" w14:cmpd="sng" w14:algn="ctr">
                  <w14:solidFill>
                    <w14:srgbClr w14:val="000000"/>
                  </w14:solidFill>
                  <w14:prstDash w14:val="solid"/>
                  <w14:round/>
                </w14:textOutline>
              </w:rPr>
            </w:pPr>
          </w:p>
        </w:tc>
      </w:tr>
      <w:tr w14:paraId="1E0B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43FB27F0">
            <w:pPr>
              <w:spacing w:after="0" w:line="240" w:lineRule="auto"/>
              <w:jc w:val="center"/>
              <w:rPr>
                <w:rFonts w:ascii="Arial" w:hAnsi="Arial" w:cs="Arial"/>
                <w:b/>
                <w:bCs/>
              </w:rPr>
            </w:pPr>
            <w:r>
              <w:rPr>
                <w:rFonts w:ascii="Arial" w:hAnsi="Arial" w:cs="Arial"/>
                <w:b/>
                <w:bCs/>
              </w:rPr>
              <w:t>Descrição</w:t>
            </w:r>
          </w:p>
        </w:tc>
        <w:tc>
          <w:tcPr>
            <w:tcW w:w="2994" w:type="dxa"/>
            <w:tcBorders>
              <w:left w:val="single" w:color="auto" w:sz="4" w:space="0"/>
            </w:tcBorders>
            <w:shd w:val="clear" w:color="auto" w:fill="BEBEBE" w:themeFill="background1" w:themeFillShade="BF"/>
          </w:tcPr>
          <w:p w14:paraId="1537F057">
            <w:pPr>
              <w:spacing w:after="0" w:line="240" w:lineRule="auto"/>
              <w:jc w:val="center"/>
              <w:rPr>
                <w:rFonts w:ascii="Arial" w:hAnsi="Arial" w:cs="Arial"/>
                <w:b/>
                <w:bCs/>
                <w14:textOutline w14:w="9525" w14:cap="flat" w14:cmpd="sng" w14:algn="ctr">
                  <w14:solidFill>
                    <w14:srgbClr w14:val="000000"/>
                  </w14:solidFill>
                  <w14:prstDash w14:val="solid"/>
                  <w14:round/>
                </w14:textOutline>
              </w:rPr>
            </w:pPr>
            <w:r>
              <w:rPr>
                <w:rFonts w:ascii="Arial" w:hAnsi="Arial" w:cs="Arial"/>
                <w:b/>
                <w:bCs/>
              </w:rPr>
              <w:t>Quant.:</w:t>
            </w:r>
          </w:p>
        </w:tc>
      </w:tr>
      <w:tr w14:paraId="18C6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tcBorders>
              <w:top w:val="single" w:color="auto" w:sz="4" w:space="0"/>
            </w:tcBorders>
            <w:shd w:val="clear" w:color="auto" w:fill="auto"/>
          </w:tcPr>
          <w:p w14:paraId="4975661F">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Controle de EPI’s – Itens entregues</w:t>
            </w:r>
          </w:p>
        </w:tc>
        <w:tc>
          <w:tcPr>
            <w:tcW w:w="2994" w:type="dxa"/>
            <w:shd w:val="clear" w:color="auto" w:fill="auto"/>
            <w:vAlign w:val="top"/>
          </w:tcPr>
          <w:p w14:paraId="664041B8">
            <w:pPr>
              <w:spacing w:after="0" w:line="240" w:lineRule="auto"/>
              <w:ind w:firstLine="330" w:firstLineChars="150"/>
              <w:jc w:val="center"/>
              <w:rPr>
                <w:rFonts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1.784</w:t>
            </w:r>
          </w:p>
        </w:tc>
      </w:tr>
      <w:tr w14:paraId="036F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3" w:type="dxa"/>
            <w:shd w:val="clear" w:color="auto" w:fill="auto"/>
          </w:tcPr>
          <w:p w14:paraId="6DB2B363">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Ficha SINAN</w:t>
            </w:r>
          </w:p>
        </w:tc>
        <w:tc>
          <w:tcPr>
            <w:tcW w:w="2994" w:type="dxa"/>
            <w:shd w:val="clear" w:color="auto" w:fill="auto"/>
            <w:vAlign w:val="top"/>
          </w:tcPr>
          <w:p w14:paraId="67F741BD">
            <w:pPr>
              <w:spacing w:after="0" w:line="240" w:lineRule="auto"/>
              <w:ind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00</w:t>
            </w:r>
          </w:p>
        </w:tc>
      </w:tr>
      <w:tr w14:paraId="5E29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3BD31D14">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Admissionais</w:t>
            </w:r>
          </w:p>
        </w:tc>
        <w:tc>
          <w:tcPr>
            <w:tcW w:w="2994" w:type="dxa"/>
            <w:shd w:val="clear" w:color="auto" w:fill="auto"/>
            <w:vAlign w:val="top"/>
          </w:tcPr>
          <w:p w14:paraId="4CFA3741">
            <w:pPr>
              <w:spacing w:after="0" w:line="240" w:lineRule="auto"/>
              <w:ind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05</w:t>
            </w:r>
          </w:p>
        </w:tc>
      </w:tr>
      <w:tr w14:paraId="3B93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22F69745">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Demissionais</w:t>
            </w:r>
          </w:p>
        </w:tc>
        <w:tc>
          <w:tcPr>
            <w:tcW w:w="2994" w:type="dxa"/>
            <w:shd w:val="clear" w:color="auto" w:fill="auto"/>
            <w:vAlign w:val="top"/>
          </w:tcPr>
          <w:p w14:paraId="2E7ED7A0">
            <w:pPr>
              <w:spacing w:after="0" w:line="240" w:lineRule="auto"/>
              <w:ind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04</w:t>
            </w:r>
          </w:p>
        </w:tc>
      </w:tr>
      <w:tr w14:paraId="716E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440E468E">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de mudança de função</w:t>
            </w:r>
          </w:p>
        </w:tc>
        <w:tc>
          <w:tcPr>
            <w:tcW w:w="2994" w:type="dxa"/>
            <w:shd w:val="clear" w:color="auto" w:fill="auto"/>
            <w:vAlign w:val="top"/>
          </w:tcPr>
          <w:p w14:paraId="5987713E">
            <w:pPr>
              <w:spacing w:after="0" w:line="240" w:lineRule="auto"/>
              <w:ind w:firstLine="330" w:firstLineChars="150"/>
              <w:jc w:val="center"/>
              <w:rPr>
                <w:rFonts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01</w:t>
            </w:r>
          </w:p>
        </w:tc>
      </w:tr>
      <w:tr w14:paraId="420E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3143DF20">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de retorno ao trabalho</w:t>
            </w:r>
          </w:p>
        </w:tc>
        <w:tc>
          <w:tcPr>
            <w:tcW w:w="2994" w:type="dxa"/>
            <w:shd w:val="clear" w:color="auto" w:fill="auto"/>
            <w:vAlign w:val="top"/>
          </w:tcPr>
          <w:p w14:paraId="7EA62D39">
            <w:pPr>
              <w:spacing w:after="0" w:line="240" w:lineRule="auto"/>
              <w:ind w:firstLine="330" w:firstLineChars="150"/>
              <w:jc w:val="center"/>
              <w:rPr>
                <w:rFonts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00</w:t>
            </w:r>
          </w:p>
        </w:tc>
      </w:tr>
      <w:tr w14:paraId="6CD1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600B64F4">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Gestantes</w:t>
            </w:r>
          </w:p>
        </w:tc>
        <w:tc>
          <w:tcPr>
            <w:tcW w:w="2994" w:type="dxa"/>
            <w:shd w:val="clear" w:color="auto" w:fill="auto"/>
            <w:vAlign w:val="top"/>
          </w:tcPr>
          <w:p w14:paraId="2F39ADD7">
            <w:pPr>
              <w:spacing w:after="0" w:line="240" w:lineRule="auto"/>
              <w:ind w:firstLine="330" w:firstLineChars="150"/>
              <w:jc w:val="center"/>
              <w:rPr>
                <w:rFonts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03</w:t>
            </w:r>
          </w:p>
        </w:tc>
      </w:tr>
      <w:tr w14:paraId="227B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6465C82A">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Afastamento – Licença à maternidade</w:t>
            </w:r>
          </w:p>
        </w:tc>
        <w:tc>
          <w:tcPr>
            <w:tcW w:w="2994" w:type="dxa"/>
            <w:shd w:val="clear" w:color="auto" w:fill="auto"/>
            <w:vAlign w:val="top"/>
          </w:tcPr>
          <w:p w14:paraId="3B4EB644">
            <w:pPr>
              <w:spacing w:after="0" w:line="240" w:lineRule="auto"/>
              <w:ind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01</w:t>
            </w:r>
          </w:p>
        </w:tc>
      </w:tr>
      <w:tr w14:paraId="7D3C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28818D61">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Afastamento mais de 15 dias</w:t>
            </w:r>
          </w:p>
        </w:tc>
        <w:tc>
          <w:tcPr>
            <w:tcW w:w="2994" w:type="dxa"/>
            <w:shd w:val="clear" w:color="auto" w:fill="auto"/>
            <w:vAlign w:val="top"/>
          </w:tcPr>
          <w:p w14:paraId="45D216B8">
            <w:pPr>
              <w:spacing w:after="0" w:line="240" w:lineRule="auto"/>
              <w:ind w:firstLine="330" w:firstLineChars="150"/>
              <w:jc w:val="center"/>
              <w:rPr>
                <w:rFonts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04</w:t>
            </w:r>
          </w:p>
        </w:tc>
      </w:tr>
      <w:tr w14:paraId="5DED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0908F298">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Atestados recebidos</w:t>
            </w:r>
          </w:p>
        </w:tc>
        <w:tc>
          <w:tcPr>
            <w:tcW w:w="2994" w:type="dxa"/>
            <w:shd w:val="clear" w:color="auto" w:fill="auto"/>
            <w:vAlign w:val="top"/>
          </w:tcPr>
          <w:p w14:paraId="64B4B999">
            <w:pPr>
              <w:spacing w:after="0" w:line="240" w:lineRule="auto"/>
              <w:ind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57</w:t>
            </w:r>
          </w:p>
        </w:tc>
      </w:tr>
      <w:tr w14:paraId="7BDE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5EF453D2">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Acidente de trabalho Típico</w:t>
            </w:r>
          </w:p>
        </w:tc>
        <w:tc>
          <w:tcPr>
            <w:tcW w:w="2994" w:type="dxa"/>
            <w:shd w:val="clear" w:color="auto" w:fill="auto"/>
            <w:vAlign w:val="top"/>
          </w:tcPr>
          <w:p w14:paraId="1EB1F111">
            <w:pPr>
              <w:spacing w:after="0" w:line="240" w:lineRule="auto"/>
              <w:ind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00</w:t>
            </w:r>
          </w:p>
        </w:tc>
      </w:tr>
      <w:tr w14:paraId="1A23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5ECE545B">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Integração para novos colaboradores</w:t>
            </w:r>
          </w:p>
        </w:tc>
        <w:tc>
          <w:tcPr>
            <w:tcW w:w="2994" w:type="dxa"/>
            <w:shd w:val="clear" w:color="auto" w:fill="auto"/>
            <w:vAlign w:val="top"/>
          </w:tcPr>
          <w:p w14:paraId="381193C1">
            <w:pPr>
              <w:spacing w:after="0" w:line="240" w:lineRule="auto"/>
              <w:ind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01</w:t>
            </w:r>
          </w:p>
        </w:tc>
      </w:tr>
    </w:tbl>
    <w:p w14:paraId="7CEF4438">
      <w:pPr>
        <w:pStyle w:val="21"/>
        <w:ind w:right="-567"/>
        <w:jc w:val="center"/>
        <w:rPr>
          <w:rFonts w:ascii="Arial" w:hAnsi="Arial" w:cs="Arial"/>
          <w:i w:val="0"/>
          <w:iCs w:val="0"/>
          <w:color w:val="auto"/>
          <w:sz w:val="16"/>
          <w:szCs w:val="16"/>
        </w:rPr>
      </w:pPr>
      <w:r>
        <w:rPr>
          <w:rFonts w:ascii="Arial" w:hAnsi="Arial" w:cs="Arial"/>
          <w:i w:val="0"/>
          <w:iCs w:val="0"/>
          <w:color w:val="auto"/>
          <w:sz w:val="16"/>
          <w:szCs w:val="16"/>
        </w:rPr>
        <w:t>Detalhamento por quantitativo das ações do SESMT</w:t>
      </w:r>
      <w:bookmarkEnd w:id="29"/>
    </w:p>
    <w:p w14:paraId="22972B0B">
      <w:pPr>
        <w:pStyle w:val="65"/>
        <w:spacing w:before="240" w:line="360" w:lineRule="auto"/>
        <w:ind w:left="-993" w:firstLine="993"/>
        <w:jc w:val="both"/>
        <w:rPr>
          <w:bCs/>
          <w:sz w:val="22"/>
          <w:szCs w:val="22"/>
        </w:rPr>
      </w:pPr>
    </w:p>
    <w:p w14:paraId="5D195261">
      <w:pPr>
        <w:pStyle w:val="3"/>
        <w:numPr>
          <w:ilvl w:val="0"/>
          <w:numId w:val="5"/>
        </w:numPr>
        <w:rPr>
          <w:rFonts w:ascii="Arial" w:hAnsi="Arial" w:cs="Arial"/>
          <w:b/>
          <w:bCs/>
          <w:color w:val="000000" w:themeColor="text1"/>
          <w:sz w:val="22"/>
          <w:szCs w:val="22"/>
          <w14:textFill>
            <w14:solidFill>
              <w14:schemeClr w14:val="tx1"/>
            </w14:solidFill>
          </w14:textFill>
        </w:rPr>
      </w:pPr>
      <w:bookmarkStart w:id="30" w:name="_Toc192161439"/>
      <w:r>
        <w:rPr>
          <w:rFonts w:ascii="Arial" w:hAnsi="Arial" w:cs="Arial"/>
          <w:b/>
          <w:bCs/>
          <w:color w:val="000000" w:themeColor="text1"/>
          <w:sz w:val="22"/>
          <w:szCs w:val="22"/>
          <w14:textFill>
            <w14:solidFill>
              <w14:schemeClr w14:val="tx1"/>
            </w14:solidFill>
          </w14:textFill>
        </w:rPr>
        <w:t>Coordenação de Enfermagem</w:t>
      </w:r>
      <w:bookmarkEnd w:id="30"/>
    </w:p>
    <w:p w14:paraId="4C2C96E6">
      <w:pPr>
        <w:pStyle w:val="4"/>
      </w:pPr>
    </w:p>
    <w:p w14:paraId="3192258A">
      <w:pPr>
        <w:spacing w:after="0" w:line="360" w:lineRule="auto"/>
        <w:ind w:firstLine="709"/>
        <w:jc w:val="both"/>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5EC9FA24">
      <w:pPr>
        <w:spacing w:after="0" w:line="360" w:lineRule="auto"/>
        <w:ind w:firstLine="709"/>
        <w:jc w:val="both"/>
        <w:rPr>
          <w:rFonts w:ascii="Arial" w:hAnsi="Arial" w:cs="Arial"/>
        </w:rPr>
      </w:pPr>
    </w:p>
    <w:p w14:paraId="1AC44C1D">
      <w:pPr>
        <w:spacing w:after="0" w:line="360" w:lineRule="auto"/>
        <w:ind w:firstLine="709"/>
        <w:jc w:val="both"/>
        <w:rPr>
          <w:rFonts w:ascii="Arial" w:hAnsi="Arial" w:cs="Arial"/>
        </w:rPr>
      </w:pPr>
      <w:r>
        <w:rPr>
          <w:rFonts w:ascii="Arial" w:hAnsi="Arial" w:cs="Arial"/>
        </w:rPr>
        <w:t xml:space="preserve">A Coordenação de Enfermagem atua diretamente na tomada de decisões na questão operacional das atividades, elabora planejamento estratégico na organização dos fluxos da unidade, não só pertinente à enfermagem, mas também à recepção, equipe médica e exames. </w:t>
      </w:r>
    </w:p>
    <w:p w14:paraId="10B74915">
      <w:pPr>
        <w:spacing w:after="0" w:line="360" w:lineRule="auto"/>
        <w:ind w:firstLine="709"/>
        <w:jc w:val="both"/>
        <w:rPr>
          <w:rFonts w:ascii="Arial" w:hAnsi="Arial" w:cs="Arial"/>
        </w:rPr>
      </w:pPr>
    </w:p>
    <w:p w14:paraId="4EB6DFCC">
      <w:pPr>
        <w:spacing w:after="0" w:line="360" w:lineRule="auto"/>
        <w:ind w:firstLine="709"/>
        <w:jc w:val="both"/>
        <w:rPr>
          <w:rFonts w:ascii="Arial" w:hAnsi="Arial" w:cs="Arial"/>
        </w:rPr>
      </w:pPr>
      <w:r>
        <w:rPr>
          <w:rFonts w:ascii="Arial" w:hAnsi="Arial" w:cs="Arial"/>
        </w:rPr>
        <w:t>Realiza a gestão de recursos humanos, materiais e orçamentários colocados à disposição do setor.  A Coordenação de Enfermagem contribui para os objetivos globais da unidade, ofertando atenção a todos os serviços operacionais e administrativos.</w:t>
      </w:r>
    </w:p>
    <w:p w14:paraId="38E2DD34">
      <w:pPr>
        <w:spacing w:after="0" w:line="360" w:lineRule="auto"/>
        <w:ind w:firstLine="709"/>
        <w:jc w:val="both"/>
        <w:rPr>
          <w:rFonts w:ascii="Arial" w:hAnsi="Arial" w:cs="Arial"/>
        </w:rPr>
      </w:pPr>
    </w:p>
    <w:p w14:paraId="20E85739">
      <w:pPr>
        <w:spacing w:after="0" w:line="360" w:lineRule="auto"/>
        <w:ind w:firstLine="709"/>
        <w:jc w:val="both"/>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1DDB8ED8">
      <w:pPr>
        <w:spacing w:after="0" w:line="360" w:lineRule="auto"/>
        <w:ind w:firstLine="709"/>
        <w:jc w:val="both"/>
        <w:rPr>
          <w:rFonts w:ascii="Arial" w:hAnsi="Arial" w:cs="Arial"/>
        </w:rPr>
      </w:pPr>
    </w:p>
    <w:p w14:paraId="58B47C96">
      <w:pPr>
        <w:spacing w:after="0" w:line="360" w:lineRule="auto"/>
        <w:ind w:firstLine="709"/>
        <w:jc w:val="both"/>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3FE5DB18">
      <w:pPr>
        <w:spacing w:after="0" w:line="360" w:lineRule="auto"/>
        <w:ind w:firstLine="709"/>
        <w:jc w:val="both"/>
        <w:rPr>
          <w:rFonts w:ascii="Arial" w:hAnsi="Arial" w:cs="Arial"/>
        </w:rPr>
      </w:pPr>
    </w:p>
    <w:p w14:paraId="1F1C5A6A">
      <w:pPr>
        <w:spacing w:after="0" w:line="360" w:lineRule="auto"/>
        <w:ind w:firstLine="709"/>
        <w:jc w:val="both"/>
        <w:rPr>
          <w:rFonts w:ascii="Arial" w:hAnsi="Arial" w:cs="Arial"/>
        </w:rPr>
      </w:pPr>
      <w:r>
        <w:rPr>
          <w:rFonts w:ascii="Arial" w:hAnsi="Arial" w:cs="Arial"/>
        </w:rPr>
        <w:t xml:space="preserve">Atualmente, a equipe de enfermagem da Policlínica de Quirinópolis é composta por 7 enfermeiros, e 18 técnicos de enfermagem, destes enfermeiros, 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AA560DD">
      <w:pPr>
        <w:spacing w:after="0" w:line="360" w:lineRule="auto"/>
        <w:ind w:left="-993" w:firstLine="851"/>
        <w:jc w:val="both"/>
        <w:rPr>
          <w:rFonts w:ascii="Arial" w:hAnsi="Arial" w:cs="Arial"/>
        </w:rPr>
      </w:pPr>
    </w:p>
    <w:p w14:paraId="2F0D83DC">
      <w:pPr>
        <w:pStyle w:val="30"/>
        <w:numPr>
          <w:ilvl w:val="0"/>
          <w:numId w:val="13"/>
        </w:numPr>
        <w:spacing w:line="360" w:lineRule="auto"/>
        <w:rPr>
          <w:rFonts w:ascii="Arial" w:hAnsi="Arial" w:cs="Arial"/>
          <w:b/>
          <w:bCs/>
        </w:rPr>
      </w:pPr>
      <w:r>
        <w:rPr>
          <w:rFonts w:ascii="Arial" w:hAnsi="Arial" w:cs="Arial"/>
          <w:b/>
          <w:bCs/>
        </w:rPr>
        <w:t xml:space="preserve">CLASSIFICAÇÃO DAS CATEGORIAS PROFISSIONAIS: </w:t>
      </w:r>
    </w:p>
    <w:p w14:paraId="3488550E">
      <w:pPr>
        <w:pStyle w:val="30"/>
        <w:spacing w:line="360" w:lineRule="auto"/>
        <w:rPr>
          <w:rFonts w:ascii="Arial" w:hAnsi="Arial" w:cs="Arial"/>
          <w:b/>
          <w:bCs/>
        </w:rPr>
      </w:pPr>
    </w:p>
    <w:p w14:paraId="6D33D486">
      <w:pPr>
        <w:pStyle w:val="30"/>
        <w:numPr>
          <w:ilvl w:val="0"/>
          <w:numId w:val="14"/>
        </w:numPr>
        <w:spacing w:line="360" w:lineRule="auto"/>
        <w:rPr>
          <w:rFonts w:ascii="Arial" w:hAnsi="Arial" w:cs="Arial"/>
        </w:rPr>
      </w:pPr>
      <w:r>
        <w:rPr>
          <w:rFonts w:ascii="Arial" w:hAnsi="Arial" w:cs="Arial"/>
        </w:rPr>
        <w:t xml:space="preserve">Coordenadora de Enfermagem </w:t>
      </w:r>
    </w:p>
    <w:p w14:paraId="786CFBBB">
      <w:pPr>
        <w:pStyle w:val="30"/>
        <w:numPr>
          <w:ilvl w:val="0"/>
          <w:numId w:val="14"/>
        </w:numPr>
        <w:spacing w:line="360" w:lineRule="auto"/>
        <w:rPr>
          <w:rFonts w:ascii="Arial" w:hAnsi="Arial" w:cs="Arial"/>
        </w:rPr>
      </w:pPr>
      <w:r>
        <w:rPr>
          <w:rFonts w:ascii="Arial" w:hAnsi="Arial" w:cs="Arial"/>
        </w:rPr>
        <w:t>Gestora do Cuidado</w:t>
      </w:r>
    </w:p>
    <w:p w14:paraId="08023A3C">
      <w:pPr>
        <w:pStyle w:val="30"/>
        <w:numPr>
          <w:ilvl w:val="0"/>
          <w:numId w:val="14"/>
        </w:numPr>
        <w:spacing w:line="360" w:lineRule="auto"/>
        <w:rPr>
          <w:rFonts w:ascii="Arial" w:hAnsi="Arial" w:cs="Arial"/>
        </w:rPr>
      </w:pPr>
      <w:r>
        <w:rPr>
          <w:rFonts w:ascii="Arial" w:hAnsi="Arial" w:cs="Arial"/>
        </w:rPr>
        <w:t>Enfermeiro RT do setor de Hemodiálise</w:t>
      </w:r>
    </w:p>
    <w:p w14:paraId="5880C8AB">
      <w:pPr>
        <w:pStyle w:val="30"/>
        <w:numPr>
          <w:ilvl w:val="0"/>
          <w:numId w:val="14"/>
        </w:numPr>
        <w:spacing w:line="360" w:lineRule="auto"/>
        <w:rPr>
          <w:rFonts w:ascii="Arial" w:hAnsi="Arial" w:cs="Arial"/>
        </w:rPr>
      </w:pPr>
      <w:r>
        <w:rPr>
          <w:rFonts w:ascii="Arial" w:hAnsi="Arial" w:cs="Arial"/>
        </w:rPr>
        <w:t>Enfermeiro RT do setor de Endoscopia</w:t>
      </w:r>
    </w:p>
    <w:p w14:paraId="5F9F1CCA">
      <w:pPr>
        <w:pStyle w:val="30"/>
        <w:numPr>
          <w:ilvl w:val="0"/>
          <w:numId w:val="14"/>
        </w:numPr>
        <w:spacing w:line="360" w:lineRule="auto"/>
        <w:rPr>
          <w:rFonts w:ascii="Arial" w:hAnsi="Arial" w:cs="Arial"/>
        </w:rPr>
      </w:pPr>
      <w:r>
        <w:rPr>
          <w:rFonts w:ascii="Arial" w:hAnsi="Arial" w:cs="Arial"/>
        </w:rPr>
        <w:t>Enfermeiro SCIRAS/ NSP</w:t>
      </w:r>
    </w:p>
    <w:p w14:paraId="762054F6">
      <w:pPr>
        <w:pStyle w:val="30"/>
        <w:numPr>
          <w:ilvl w:val="0"/>
          <w:numId w:val="14"/>
        </w:numPr>
        <w:spacing w:line="360" w:lineRule="auto"/>
        <w:rPr>
          <w:rFonts w:ascii="Arial" w:hAnsi="Arial" w:cs="Arial"/>
        </w:rPr>
      </w:pPr>
      <w:r>
        <w:rPr>
          <w:rFonts w:ascii="Arial" w:hAnsi="Arial" w:cs="Arial"/>
        </w:rPr>
        <w:t xml:space="preserve">Enfermeiros Assistenciais </w:t>
      </w:r>
    </w:p>
    <w:p w14:paraId="51684A91">
      <w:pPr>
        <w:pStyle w:val="30"/>
        <w:numPr>
          <w:ilvl w:val="0"/>
          <w:numId w:val="14"/>
        </w:numPr>
        <w:spacing w:line="360" w:lineRule="auto"/>
        <w:rPr>
          <w:rFonts w:ascii="Arial" w:hAnsi="Arial" w:cs="Arial"/>
        </w:rPr>
      </w:pPr>
      <w:r>
        <w:rPr>
          <w:rFonts w:ascii="Arial" w:hAnsi="Arial" w:cs="Arial"/>
        </w:rPr>
        <w:t xml:space="preserve">Técnicos de Enfermagem </w:t>
      </w:r>
    </w:p>
    <w:p w14:paraId="0F62D6AB">
      <w:pPr>
        <w:pStyle w:val="30"/>
        <w:spacing w:line="360" w:lineRule="auto"/>
        <w:rPr>
          <w:rFonts w:ascii="Arial" w:hAnsi="Arial" w:cs="Arial"/>
        </w:rPr>
      </w:pPr>
    </w:p>
    <w:p w14:paraId="4EA5855C">
      <w:pPr>
        <w:pStyle w:val="30"/>
        <w:numPr>
          <w:ilvl w:val="0"/>
          <w:numId w:val="13"/>
        </w:numPr>
        <w:rPr>
          <w:rFonts w:ascii="Arial" w:hAnsi="Arial" w:cs="Arial"/>
          <w:b/>
          <w:bCs/>
        </w:rPr>
      </w:pPr>
      <w:r>
        <w:rPr>
          <w:rFonts w:ascii="Arial" w:hAnsi="Arial" w:cs="Arial"/>
          <w:b/>
          <w:bCs/>
        </w:rPr>
        <w:t xml:space="preserve">SETORES ASSISTENCIAIS: </w:t>
      </w:r>
    </w:p>
    <w:p w14:paraId="3EFA027F">
      <w:pPr>
        <w:pStyle w:val="30"/>
        <w:rPr>
          <w:rFonts w:ascii="Arial" w:hAnsi="Arial" w:cs="Arial"/>
          <w:b/>
          <w:bCs/>
          <w:color w:val="FF0000"/>
        </w:rPr>
      </w:pPr>
    </w:p>
    <w:p w14:paraId="183EA771">
      <w:pPr>
        <w:pStyle w:val="30"/>
        <w:numPr>
          <w:ilvl w:val="0"/>
          <w:numId w:val="15"/>
        </w:numPr>
        <w:spacing w:before="120" w:after="120" w:line="360" w:lineRule="auto"/>
        <w:ind w:left="709" w:hanging="283"/>
        <w:jc w:val="both"/>
        <w:rPr>
          <w:rFonts w:ascii="Arial" w:hAnsi="Arial" w:cs="Arial"/>
        </w:rPr>
      </w:pPr>
      <w:r>
        <w:rPr>
          <w:rFonts w:ascii="Arial" w:hAnsi="Arial" w:cs="Arial"/>
        </w:rPr>
        <w:t xml:space="preserve">Ambulatório Geral; </w:t>
      </w:r>
    </w:p>
    <w:p w14:paraId="36AA63B5">
      <w:pPr>
        <w:pStyle w:val="30"/>
        <w:numPr>
          <w:ilvl w:val="0"/>
          <w:numId w:val="15"/>
        </w:numPr>
        <w:spacing w:before="120" w:after="120" w:line="360" w:lineRule="auto"/>
        <w:ind w:left="709" w:hanging="283"/>
        <w:jc w:val="both"/>
        <w:rPr>
          <w:rFonts w:ascii="Arial" w:hAnsi="Arial" w:cs="Arial"/>
        </w:rPr>
      </w:pPr>
      <w:r>
        <w:rPr>
          <w:rFonts w:ascii="Arial" w:hAnsi="Arial" w:cs="Arial"/>
        </w:rPr>
        <w:t>Central de Material e Esterilização – CME;</w:t>
      </w:r>
    </w:p>
    <w:p w14:paraId="41BFDF6F">
      <w:pPr>
        <w:pStyle w:val="30"/>
        <w:numPr>
          <w:ilvl w:val="0"/>
          <w:numId w:val="15"/>
        </w:numPr>
        <w:shd w:val="clear" w:color="auto" w:fill="FFFFFF"/>
        <w:spacing w:after="0" w:line="360" w:lineRule="auto"/>
        <w:ind w:left="709" w:hanging="283"/>
        <w:jc w:val="both"/>
        <w:textAlignment w:val="baseline"/>
        <w:outlineLvl w:val="0"/>
        <w:rPr>
          <w:rFonts w:ascii="Arial" w:hAnsi="Arial" w:cs="Times New Roman"/>
        </w:rPr>
      </w:pPr>
      <w:bookmarkStart w:id="31" w:name="_Toc189723883"/>
      <w:bookmarkStart w:id="32" w:name="_Toc192161440"/>
      <w:r>
        <w:rPr>
          <w:rFonts w:ascii="Arial" w:hAnsi="Arial" w:cs="Arial"/>
          <w:bCs/>
          <w:color w:val="000000"/>
          <w:kern w:val="2"/>
        </w:rPr>
        <w:t>SCIRAS – Serviço de Controle de Infecção Relacionada à Assistência à Saúde;</w:t>
      </w:r>
      <w:bookmarkEnd w:id="31"/>
      <w:bookmarkEnd w:id="32"/>
    </w:p>
    <w:p w14:paraId="78EB8681">
      <w:pPr>
        <w:pStyle w:val="30"/>
        <w:numPr>
          <w:ilvl w:val="0"/>
          <w:numId w:val="15"/>
        </w:numPr>
        <w:shd w:val="clear" w:color="auto" w:fill="FFFFFF"/>
        <w:spacing w:after="0" w:line="360" w:lineRule="auto"/>
        <w:ind w:left="709" w:hanging="283"/>
        <w:jc w:val="both"/>
        <w:textAlignment w:val="baseline"/>
        <w:outlineLvl w:val="0"/>
        <w:rPr>
          <w:rFonts w:ascii="Arial" w:hAnsi="Arial"/>
        </w:rPr>
      </w:pPr>
      <w:bookmarkStart w:id="33" w:name="_Toc189723884"/>
      <w:bookmarkStart w:id="34" w:name="_Toc192161441"/>
      <w:r>
        <w:rPr>
          <w:rFonts w:ascii="Arial" w:hAnsi="Arial" w:cs="Arial"/>
          <w:bCs/>
          <w:color w:val="000000"/>
          <w:kern w:val="2"/>
        </w:rPr>
        <w:t>NSP – Núcleo de Segurança do Paciente;</w:t>
      </w:r>
      <w:bookmarkEnd w:id="33"/>
      <w:bookmarkEnd w:id="34"/>
    </w:p>
    <w:p w14:paraId="7E93F341">
      <w:pPr>
        <w:pStyle w:val="30"/>
        <w:numPr>
          <w:ilvl w:val="0"/>
          <w:numId w:val="15"/>
        </w:numPr>
        <w:spacing w:before="120" w:after="120" w:line="360" w:lineRule="auto"/>
        <w:ind w:left="709" w:hanging="283"/>
        <w:jc w:val="both"/>
        <w:rPr>
          <w:rFonts w:ascii="Arial" w:hAnsi="Arial"/>
        </w:rPr>
      </w:pPr>
      <w:r>
        <w:rPr>
          <w:rFonts w:ascii="Arial" w:hAnsi="Arial" w:cs="Arial"/>
        </w:rPr>
        <w:t>Serviços Dialíticos;</w:t>
      </w:r>
    </w:p>
    <w:p w14:paraId="27E3C097">
      <w:pPr>
        <w:pStyle w:val="30"/>
        <w:spacing w:line="360" w:lineRule="auto"/>
        <w:rPr>
          <w:rFonts w:ascii="Arial" w:hAnsi="Arial" w:cs="Arial"/>
        </w:rPr>
      </w:pPr>
      <w:r>
        <w:rPr>
          <w:rFonts w:ascii="Arial" w:hAnsi="Arial" w:cs="Arial"/>
        </w:rPr>
        <w:t>SADT- Serviço de Apoio Diagnostica e Terapêutico</w:t>
      </w:r>
    </w:p>
    <w:p w14:paraId="571FD67E">
      <w:pPr>
        <w:ind w:firstLine="567"/>
        <w:jc w:val="both"/>
        <w:rPr>
          <w:rFonts w:ascii="Arial" w:hAnsi="Arial" w:cs="Arial"/>
          <w:b/>
          <w:bCs/>
        </w:rPr>
      </w:pPr>
      <w:r>
        <w:rPr>
          <w:rFonts w:ascii="Arial" w:hAnsi="Arial" w:cs="Arial"/>
          <w:b/>
          <w:bCs/>
        </w:rPr>
        <w:t>Atividades de Rotina:</w:t>
      </w:r>
    </w:p>
    <w:p w14:paraId="1E32E2F4">
      <w:pPr>
        <w:pStyle w:val="30"/>
        <w:numPr>
          <w:ilvl w:val="2"/>
          <w:numId w:val="16"/>
        </w:numPr>
        <w:spacing w:after="0" w:line="360" w:lineRule="auto"/>
        <w:jc w:val="both"/>
        <w:rPr>
          <w:rFonts w:ascii="Arial" w:hAnsi="Arial" w:cs="Arial"/>
        </w:rPr>
      </w:pPr>
      <w:r>
        <w:rPr>
          <w:rFonts w:ascii="Arial" w:hAnsi="Arial" w:cs="Arial"/>
        </w:rPr>
        <w:t xml:space="preserve">Ronda setorial: É realizada ronda diária ao chegar à unidade, visitando todos os setores. </w:t>
      </w:r>
    </w:p>
    <w:p w14:paraId="2139775F">
      <w:pPr>
        <w:pStyle w:val="30"/>
        <w:numPr>
          <w:ilvl w:val="2"/>
          <w:numId w:val="16"/>
        </w:numPr>
        <w:spacing w:after="0" w:line="360" w:lineRule="auto"/>
        <w:jc w:val="both"/>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34A52AFD">
      <w:pPr>
        <w:pStyle w:val="30"/>
        <w:numPr>
          <w:ilvl w:val="2"/>
          <w:numId w:val="16"/>
        </w:numPr>
        <w:spacing w:after="0" w:line="360" w:lineRule="auto"/>
        <w:jc w:val="both"/>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3F6EFD95">
      <w:pPr>
        <w:pStyle w:val="30"/>
        <w:numPr>
          <w:ilvl w:val="2"/>
          <w:numId w:val="16"/>
        </w:numPr>
        <w:spacing w:after="0" w:line="360" w:lineRule="auto"/>
        <w:jc w:val="both"/>
        <w:rPr>
          <w:rFonts w:ascii="Arial" w:hAnsi="Arial" w:cs="Arial"/>
        </w:rPr>
      </w:pPr>
      <w:r>
        <w:rPr>
          <w:rFonts w:ascii="Arial" w:hAnsi="Arial" w:cs="Arial"/>
        </w:rPr>
        <w:t>Relatório Quinzenais: É realizado o relatório de ações e atividades que são entregues ao diretor administrativo e assistente de diretoria;</w:t>
      </w:r>
    </w:p>
    <w:p w14:paraId="20031685">
      <w:pPr>
        <w:pStyle w:val="30"/>
        <w:numPr>
          <w:ilvl w:val="2"/>
          <w:numId w:val="16"/>
        </w:numPr>
        <w:spacing w:after="0" w:line="360" w:lineRule="auto"/>
        <w:jc w:val="both"/>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3183BA8B">
      <w:pPr>
        <w:pStyle w:val="30"/>
        <w:numPr>
          <w:ilvl w:val="2"/>
          <w:numId w:val="16"/>
        </w:numPr>
        <w:spacing w:after="0" w:line="360" w:lineRule="auto"/>
        <w:jc w:val="both"/>
        <w:rPr>
          <w:rFonts w:ascii="Arial" w:hAnsi="Arial" w:cs="Arial"/>
        </w:rPr>
      </w:pPr>
      <w:r>
        <w:rPr>
          <w:rFonts w:ascii="Arial" w:hAnsi="Arial" w:cs="Arial"/>
        </w:rPr>
        <w:t>Capacitações: É realizado o cronograma de capacitações para a equipe em parceria com o NEPE;</w:t>
      </w:r>
    </w:p>
    <w:p w14:paraId="25983240">
      <w:pPr>
        <w:pStyle w:val="30"/>
        <w:numPr>
          <w:ilvl w:val="2"/>
          <w:numId w:val="16"/>
        </w:numPr>
        <w:spacing w:after="0" w:line="360" w:lineRule="auto"/>
        <w:jc w:val="both"/>
        <w:rPr>
          <w:rFonts w:ascii="Arial" w:hAnsi="Arial" w:cs="Arial"/>
        </w:rPr>
      </w:pPr>
      <w:r>
        <w:rPr>
          <w:rFonts w:ascii="Arial" w:hAnsi="Arial" w:cs="Arial"/>
        </w:rPr>
        <w:t>POP’s: A revisão dos POP’s de cada setor e procedimentos é realizada anualmente; ficando disponível em pastas em todos os setores da unidade.</w:t>
      </w:r>
    </w:p>
    <w:p w14:paraId="5ACC8D3A">
      <w:pPr>
        <w:pStyle w:val="30"/>
        <w:numPr>
          <w:ilvl w:val="2"/>
          <w:numId w:val="16"/>
        </w:numPr>
        <w:spacing w:after="0" w:line="360" w:lineRule="auto"/>
        <w:jc w:val="both"/>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7452CAF3">
      <w:pPr>
        <w:pStyle w:val="30"/>
        <w:numPr>
          <w:ilvl w:val="2"/>
          <w:numId w:val="16"/>
        </w:numPr>
        <w:spacing w:after="0" w:line="360" w:lineRule="auto"/>
        <w:jc w:val="both"/>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2740C729">
      <w:pPr>
        <w:pStyle w:val="30"/>
        <w:numPr>
          <w:ilvl w:val="2"/>
          <w:numId w:val="16"/>
        </w:numPr>
        <w:spacing w:after="0" w:line="360" w:lineRule="auto"/>
        <w:jc w:val="both"/>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7B254589">
      <w:pPr>
        <w:pStyle w:val="30"/>
        <w:numPr>
          <w:ilvl w:val="2"/>
          <w:numId w:val="16"/>
        </w:numPr>
        <w:spacing w:after="0" w:line="360" w:lineRule="auto"/>
        <w:jc w:val="both"/>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49BB538D">
      <w:pPr>
        <w:pStyle w:val="30"/>
        <w:numPr>
          <w:ilvl w:val="0"/>
          <w:numId w:val="0"/>
        </w:numPr>
        <w:spacing w:after="0" w:line="360" w:lineRule="auto"/>
        <w:ind w:leftChars="150"/>
        <w:jc w:val="both"/>
        <w:rPr>
          <w:rFonts w:ascii="Arial" w:hAnsi="Arial" w:cs="Arial"/>
        </w:rPr>
      </w:pPr>
    </w:p>
    <w:p w14:paraId="5FE98A36">
      <w:pPr>
        <w:pStyle w:val="30"/>
        <w:numPr>
          <w:ilvl w:val="2"/>
          <w:numId w:val="16"/>
        </w:numPr>
        <w:spacing w:after="0" w:line="360" w:lineRule="auto"/>
        <w:jc w:val="both"/>
        <w:rPr>
          <w:rFonts w:ascii="Arial" w:hAnsi="Arial" w:cs="Arial"/>
        </w:rPr>
      </w:pPr>
      <w:r>
        <w:rPr>
          <w:rFonts w:ascii="Arial" w:hAnsi="Arial" w:cs="Arial"/>
        </w:rPr>
        <w:t>Monitoramento de indicadores do setor;</w:t>
      </w:r>
    </w:p>
    <w:p w14:paraId="1D6813C2">
      <w:pPr>
        <w:pStyle w:val="30"/>
        <w:numPr>
          <w:ilvl w:val="2"/>
          <w:numId w:val="16"/>
        </w:numPr>
        <w:spacing w:after="0" w:line="360" w:lineRule="auto"/>
        <w:jc w:val="both"/>
        <w:rPr>
          <w:rFonts w:ascii="Arial" w:hAnsi="Arial" w:cs="Arial"/>
        </w:rPr>
      </w:pPr>
      <w:r>
        <w:rPr>
          <w:rFonts w:ascii="Arial" w:hAnsi="Arial" w:cs="Arial"/>
        </w:rPr>
        <w:t>Comissões: Participação das comissões implantadas na unidade;</w:t>
      </w:r>
    </w:p>
    <w:p w14:paraId="2953545E">
      <w:pPr>
        <w:pStyle w:val="30"/>
        <w:numPr>
          <w:ilvl w:val="2"/>
          <w:numId w:val="16"/>
        </w:numPr>
        <w:spacing w:after="0" w:line="360" w:lineRule="auto"/>
        <w:jc w:val="both"/>
        <w:rPr>
          <w:rFonts w:ascii="Arial" w:hAnsi="Arial" w:cs="Arial"/>
        </w:rPr>
      </w:pPr>
      <w:r>
        <w:rPr>
          <w:rFonts w:ascii="Arial" w:hAnsi="Arial" w:cs="Arial"/>
        </w:rPr>
        <w:t>Fiscalização de contrato: Fiscalização de contrato das empresas nomeadas ao fiscal.</w:t>
      </w:r>
    </w:p>
    <w:p w14:paraId="69AE95E9">
      <w:pPr>
        <w:pStyle w:val="30"/>
        <w:spacing w:after="0" w:line="360" w:lineRule="auto"/>
        <w:jc w:val="both"/>
        <w:rPr>
          <w:rFonts w:ascii="Arial" w:hAnsi="Arial" w:cs="Arial"/>
        </w:rPr>
      </w:pPr>
    </w:p>
    <w:p w14:paraId="13B080A9">
      <w:pPr>
        <w:pStyle w:val="30"/>
        <w:spacing w:after="0" w:line="360" w:lineRule="auto"/>
        <w:jc w:val="both"/>
        <w:rPr>
          <w:rFonts w:ascii="Arial" w:hAnsi="Arial" w:cs="Arial"/>
        </w:rPr>
      </w:pPr>
    </w:p>
    <w:p w14:paraId="7D8313F4">
      <w:pPr>
        <w:pStyle w:val="30"/>
        <w:numPr>
          <w:ilvl w:val="0"/>
          <w:numId w:val="3"/>
        </w:numPr>
        <w:spacing w:after="0" w:line="240" w:lineRule="auto"/>
        <w:rPr>
          <w:rFonts w:ascii="Times New Roman" w:hAnsi="Times New Roman" w:cs="Times New Roman" w:eastAsiaTheme="majorEastAsia"/>
          <w:b/>
          <w:bCs/>
          <w:vanish/>
          <w:spacing w:val="-10"/>
          <w:kern w:val="28"/>
          <w:shd w:val="clear" w:color="auto" w:fill="FFFFFF"/>
        </w:rPr>
      </w:pPr>
      <w:bookmarkStart w:id="35" w:name="_Toc158119986"/>
    </w:p>
    <w:p w14:paraId="573A174C">
      <w:pPr>
        <w:pStyle w:val="30"/>
        <w:numPr>
          <w:ilvl w:val="0"/>
          <w:numId w:val="3"/>
        </w:numPr>
        <w:spacing w:after="0" w:line="240" w:lineRule="auto"/>
        <w:rPr>
          <w:rFonts w:ascii="Times New Roman" w:hAnsi="Times New Roman" w:cs="Times New Roman" w:eastAsiaTheme="majorEastAsia"/>
          <w:b/>
          <w:bCs/>
          <w:vanish/>
          <w:spacing w:val="-10"/>
          <w:kern w:val="28"/>
          <w:shd w:val="clear" w:color="auto" w:fill="FFFFFF"/>
        </w:rPr>
      </w:pPr>
    </w:p>
    <w:bookmarkEnd w:id="35"/>
    <w:p w14:paraId="448BD2F8">
      <w:pPr>
        <w:pStyle w:val="5"/>
        <w:numPr>
          <w:ilvl w:val="0"/>
          <w:numId w:val="0"/>
        </w:numPr>
        <w:spacing w:line="360" w:lineRule="auto"/>
        <w:ind w:left="720" w:right="-1136" w:hanging="360"/>
        <w:jc w:val="both"/>
        <w:rPr>
          <w:rFonts w:ascii="Arial" w:hAnsi="Arial" w:cs="Arial"/>
          <w:color w:val="000000" w:themeColor="text1"/>
          <w:sz w:val="22"/>
          <w:szCs w:val="22"/>
          <w14:textFill>
            <w14:solidFill>
              <w14:schemeClr w14:val="tx1"/>
            </w14:solidFill>
          </w14:textFill>
        </w:rPr>
      </w:pPr>
      <w:bookmarkStart w:id="36" w:name="__RefHeading___Toc1428_3213576091"/>
      <w:bookmarkEnd w:id="36"/>
      <w:bookmarkStart w:id="37" w:name="_Toc189723885"/>
      <w:bookmarkStart w:id="38" w:name="_Toc174024124"/>
      <w:bookmarkStart w:id="39" w:name="_Toc192161442"/>
      <w:r>
        <w:rPr>
          <w:rFonts w:ascii="Arial" w:hAnsi="Arial" w:cs="Arial"/>
          <w:color w:val="000000" w:themeColor="text1"/>
          <w:sz w:val="22"/>
          <w:szCs w:val="22"/>
          <w14:textFill>
            <w14:solidFill>
              <w14:schemeClr w14:val="tx1"/>
            </w14:solidFill>
          </w14:textFill>
        </w:rPr>
        <w:t>ATENDIMENTO AMBULATORIAL | MÉDICAS</w:t>
      </w:r>
      <w:bookmarkEnd w:id="37"/>
      <w:bookmarkEnd w:id="38"/>
      <w:bookmarkEnd w:id="39"/>
    </w:p>
    <w:p w14:paraId="4E699F68"/>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3E9D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7A2B8522">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729F5552">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65992140">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6112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3997EE64">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14A13218">
            <w:pPr>
              <w:spacing w:before="40" w:after="0" w:line="360" w:lineRule="auto"/>
              <w:ind w:left="-993" w:leftChars="0" w:right="-1136" w:rightChars="0" w:firstLine="330" w:firstLineChars="150"/>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2800</w:t>
            </w:r>
          </w:p>
        </w:tc>
        <w:tc>
          <w:tcPr>
            <w:tcW w:w="2693" w:type="dxa"/>
            <w:shd w:val="clear" w:color="auto" w:fill="FFFFFF" w:themeFill="background1"/>
            <w:vAlign w:val="center"/>
          </w:tcPr>
          <w:p w14:paraId="070B8C4D">
            <w:pPr>
              <w:keepNext/>
              <w:spacing w:before="40" w:after="0" w:line="360" w:lineRule="auto"/>
              <w:ind w:left="-993" w:leftChars="0" w:right="-1136" w:rightChars="0" w:firstLine="330" w:firstLineChars="150"/>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311</w:t>
            </w:r>
            <w:r>
              <w:rPr>
                <w:rFonts w:hint="default" w:ascii="Arial" w:hAnsi="Arial" w:cs="Arial"/>
                <w:color w:val="000000" w:themeColor="text1"/>
                <w:lang w:val="pt-BR"/>
                <w14:textFill>
                  <w14:solidFill>
                    <w14:schemeClr w14:val="tx1"/>
                  </w14:solidFill>
                </w14:textFill>
              </w:rPr>
              <w:t>9</w:t>
            </w:r>
          </w:p>
        </w:tc>
      </w:tr>
    </w:tbl>
    <w:p w14:paraId="4512DB45">
      <w:pPr>
        <w:ind w:left="-993" w:right="-1136"/>
      </w:pPr>
    </w:p>
    <w:p w14:paraId="008DEC9A">
      <w:pPr>
        <w:pStyle w:val="5"/>
        <w:numPr>
          <w:ilvl w:val="0"/>
          <w:numId w:val="0"/>
        </w:numPr>
        <w:spacing w:line="360" w:lineRule="auto"/>
        <w:ind w:left="720" w:right="-1136" w:hanging="360"/>
        <w:jc w:val="both"/>
        <w:rPr>
          <w:rFonts w:ascii="Arial" w:hAnsi="Arial" w:cs="Arial"/>
          <w:color w:val="000000" w:themeColor="text1"/>
          <w:sz w:val="22"/>
          <w:szCs w:val="22"/>
          <w14:textFill>
            <w14:solidFill>
              <w14:schemeClr w14:val="tx1"/>
            </w14:solidFill>
          </w14:textFill>
        </w:rPr>
      </w:pPr>
      <w:bookmarkStart w:id="40" w:name="_Toc192161443"/>
      <w:bookmarkStart w:id="41" w:name="_Toc189723886"/>
      <w:r>
        <w:rPr>
          <w:rFonts w:ascii="Arial" w:hAnsi="Arial" w:cs="Arial"/>
          <w:color w:val="000000" w:themeColor="text1"/>
          <w:sz w:val="22"/>
          <w:szCs w:val="22"/>
          <w14:textFill>
            <w14:solidFill>
              <w14:schemeClr w14:val="tx1"/>
            </w14:solidFill>
          </w14:textFill>
        </w:rPr>
        <w:t>ATENDIMENTO SERVIÇO DE APOIO DIAGNÓSTICO TERAPÊUTICO</w:t>
      </w:r>
      <w:bookmarkEnd w:id="40"/>
      <w:bookmarkEnd w:id="41"/>
      <w:r>
        <w:rPr>
          <w:rFonts w:ascii="Arial" w:hAnsi="Arial" w:cs="Arial"/>
          <w:color w:val="000000" w:themeColor="text1"/>
          <w:sz w:val="22"/>
          <w:szCs w:val="22"/>
          <w14:textFill>
            <w14:solidFill>
              <w14:schemeClr w14:val="tx1"/>
            </w14:solidFill>
          </w14:textFill>
        </w:rPr>
        <w:t xml:space="preserve"> </w:t>
      </w:r>
    </w:p>
    <w:p w14:paraId="21446B8C"/>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5FEE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021B76CE">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72A97C26">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6B0CAA4D">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16CE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51B9C571">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5ED86281">
            <w:pPr>
              <w:spacing w:before="40" w:after="0" w:line="360" w:lineRule="auto"/>
              <w:ind w:left="-993" w:leftChars="0" w:right="-1136" w:rightChars="0" w:firstLine="330" w:firstLineChars="150"/>
              <w:jc w:val="center"/>
              <w:rPr>
                <w:rFonts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1595</w:t>
            </w:r>
          </w:p>
        </w:tc>
        <w:tc>
          <w:tcPr>
            <w:tcW w:w="2693" w:type="dxa"/>
            <w:shd w:val="clear" w:color="auto" w:fill="FFFFFF" w:themeFill="background1"/>
            <w:vAlign w:val="center"/>
          </w:tcPr>
          <w:p w14:paraId="2E47E2A1">
            <w:pPr>
              <w:keepNext/>
              <w:spacing w:before="40" w:after="0" w:line="360" w:lineRule="auto"/>
              <w:ind w:left="-993" w:leftChars="0" w:right="-1136" w:rightChars="0"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hint="default" w:ascii="Arial" w:hAnsi="Arial" w:cs="Arial"/>
                <w:color w:val="000000" w:themeColor="text1"/>
                <w:sz w:val="22"/>
                <w:szCs w:val="22"/>
                <w:lang w:val="pt-BR" w:eastAsia="en-US" w:bidi="ar-SA"/>
                <w14:textFill>
                  <w14:solidFill>
                    <w14:schemeClr w14:val="tx1"/>
                  </w14:solidFill>
                </w14:textFill>
              </w:rPr>
              <w:t>2050</w:t>
            </w:r>
          </w:p>
        </w:tc>
      </w:tr>
    </w:tbl>
    <w:p w14:paraId="0C4D32B2">
      <w:pPr>
        <w:pStyle w:val="5"/>
        <w:numPr>
          <w:ilvl w:val="0"/>
          <w:numId w:val="0"/>
        </w:numPr>
        <w:spacing w:line="360" w:lineRule="auto"/>
        <w:ind w:right="-1136"/>
        <w:jc w:val="both"/>
        <w:rPr>
          <w:rFonts w:ascii="Arial" w:hAnsi="Arial" w:cs="Arial"/>
          <w:color w:val="000000" w:themeColor="text1"/>
          <w:sz w:val="22"/>
          <w:szCs w:val="22"/>
          <w14:textFill>
            <w14:solidFill>
              <w14:schemeClr w14:val="tx1"/>
            </w14:solidFill>
          </w14:textFill>
        </w:rPr>
      </w:pPr>
    </w:p>
    <w:p w14:paraId="78171EFB">
      <w:pPr>
        <w:keepNext/>
        <w:keepLines/>
        <w:spacing w:before="40" w:after="0" w:line="360" w:lineRule="auto"/>
        <w:ind w:right="-1136"/>
        <w:jc w:val="both"/>
        <w:outlineLvl w:val="2"/>
        <w:rPr>
          <w:rFonts w:ascii="Arial" w:hAnsi="Arial" w:cs="Arial"/>
        </w:rPr>
      </w:pPr>
      <w:bookmarkStart w:id="42" w:name="_Toc192161444"/>
      <w:r>
        <w:rPr>
          <w:rFonts w:ascii="Arial" w:hAnsi="Arial" w:cs="Arial" w:eastAsiaTheme="majorEastAsia"/>
          <w:color w:val="000000" w:themeColor="text1"/>
          <w14:textFill>
            <w14:solidFill>
              <w14:schemeClr w14:val="tx1"/>
            </w14:solidFill>
          </w14:textFill>
        </w:rPr>
        <w:t>TERAPIA RENAL SUBSTITUTIVA</w:t>
      </w:r>
      <w:bookmarkEnd w:id="42"/>
      <w:bookmarkStart w:id="43" w:name="_Hlk178697259"/>
    </w:p>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770C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536EBD98">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5A6C4EC7">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08170AFA">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22BF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424B22AB">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577DCE44">
            <w:pPr>
              <w:spacing w:before="40" w:after="0" w:line="360" w:lineRule="auto"/>
              <w:ind w:left="-993" w:leftChars="0" w:right="-1136" w:rightChars="0" w:firstLine="330" w:firstLineChars="150"/>
              <w:jc w:val="center"/>
              <w:rPr>
                <w:rFonts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546 sessões</w:t>
            </w:r>
          </w:p>
        </w:tc>
        <w:tc>
          <w:tcPr>
            <w:tcW w:w="2693" w:type="dxa"/>
            <w:shd w:val="clear" w:color="auto" w:fill="FFFFFF" w:themeFill="background1"/>
            <w:vAlign w:val="center"/>
          </w:tcPr>
          <w:p w14:paraId="105EDFDF">
            <w:pPr>
              <w:keepNext/>
              <w:spacing w:before="40" w:after="0" w:line="360" w:lineRule="auto"/>
              <w:ind w:left="-993" w:leftChars="0" w:right="-1136" w:rightChars="0" w:firstLine="330" w:firstLineChars="150"/>
              <w:jc w:val="center"/>
              <w:rPr>
                <w:rFonts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508 sessões</w:t>
            </w:r>
          </w:p>
        </w:tc>
      </w:tr>
    </w:tbl>
    <w:p w14:paraId="6966DF24"/>
    <w:bookmarkEnd w:id="43"/>
    <w:p w14:paraId="42D77231">
      <w:pPr>
        <w:pStyle w:val="5"/>
        <w:numPr>
          <w:ilvl w:val="0"/>
          <w:numId w:val="0"/>
        </w:numPr>
        <w:spacing w:line="360" w:lineRule="auto"/>
        <w:ind w:right="-1136"/>
        <w:jc w:val="both"/>
        <w:rPr>
          <w:rFonts w:ascii="Arial" w:hAnsi="Arial" w:cs="Arial"/>
          <w:color w:val="000000" w:themeColor="text1"/>
          <w:sz w:val="22"/>
          <w:szCs w:val="22"/>
          <w14:textFill>
            <w14:solidFill>
              <w14:schemeClr w14:val="tx1"/>
            </w14:solidFill>
          </w14:textFill>
        </w:rPr>
      </w:pPr>
      <w:bookmarkStart w:id="44" w:name="_Toc192161445"/>
      <w:r>
        <w:rPr>
          <w:rFonts w:ascii="Arial" w:hAnsi="Arial" w:cs="Arial"/>
          <w:color w:val="000000" w:themeColor="text1"/>
          <w:sz w:val="22"/>
          <w:szCs w:val="22"/>
          <w14:textFill>
            <w14:solidFill>
              <w14:schemeClr w14:val="tx1"/>
            </w14:solidFill>
          </w14:textFill>
        </w:rPr>
        <w:t>CONSULTAS DE ENFERMAGEM</w:t>
      </w:r>
      <w:bookmarkEnd w:id="44"/>
    </w:p>
    <w:p w14:paraId="18B27BC5"/>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6538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06E7EAC5">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0A263C05">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77D944FC">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70E5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3FFE0D9A">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105C9F38">
            <w:pPr>
              <w:spacing w:before="40" w:after="0" w:line="360" w:lineRule="auto"/>
              <w:ind w:left="-993" w:leftChars="0" w:right="-1136" w:rightChars="0"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w:t>
            </w:r>
          </w:p>
        </w:tc>
        <w:tc>
          <w:tcPr>
            <w:tcW w:w="2693" w:type="dxa"/>
            <w:shd w:val="clear" w:color="auto" w:fill="FFFFFF" w:themeFill="background1"/>
            <w:vAlign w:val="center"/>
          </w:tcPr>
          <w:p w14:paraId="4C54EBC1">
            <w:pPr>
              <w:keepNext/>
              <w:spacing w:before="40" w:after="0" w:line="360" w:lineRule="auto"/>
              <w:ind w:left="-993" w:leftChars="0" w:right="-1136" w:rightChars="0"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1498</w:t>
            </w:r>
          </w:p>
        </w:tc>
      </w:tr>
    </w:tbl>
    <w:p w14:paraId="63CF1AA7"/>
    <w:p w14:paraId="63C7D517">
      <w:pPr>
        <w:pStyle w:val="5"/>
        <w:numPr>
          <w:ilvl w:val="0"/>
          <w:numId w:val="0"/>
        </w:numPr>
        <w:spacing w:line="360" w:lineRule="auto"/>
        <w:ind w:right="-1136"/>
        <w:jc w:val="both"/>
        <w:rPr>
          <w:rFonts w:ascii="Arial" w:hAnsi="Arial" w:cs="Arial"/>
          <w:color w:val="000000" w:themeColor="text1"/>
          <w:sz w:val="22"/>
          <w:szCs w:val="22"/>
          <w14:textFill>
            <w14:solidFill>
              <w14:schemeClr w14:val="tx1"/>
            </w14:solidFill>
          </w14:textFill>
        </w:rPr>
      </w:pPr>
      <w:bookmarkStart w:id="45" w:name="_Toc192161446"/>
      <w:r>
        <w:rPr>
          <w:rFonts w:ascii="Arial" w:hAnsi="Arial" w:cs="Arial"/>
          <w:color w:val="000000" w:themeColor="text1"/>
          <w:sz w:val="22"/>
          <w:szCs w:val="22"/>
          <w14:textFill>
            <w14:solidFill>
              <w14:schemeClr w14:val="tx1"/>
            </w14:solidFill>
          </w14:textFill>
        </w:rPr>
        <w:t>TRIAGENS E ENFERMAGEM</w:t>
      </w:r>
      <w:bookmarkEnd w:id="45"/>
    </w:p>
    <w:p w14:paraId="4AF99EA6">
      <w:pPr>
        <w:rPr>
          <w:rFonts w:ascii="Arial" w:hAnsi="Arial" w:cs="Arial"/>
        </w:rPr>
      </w:pPr>
      <w:r>
        <w:rPr>
          <w:rFonts w:ascii="Arial" w:hAnsi="Arial" w:cs="Arial"/>
        </w:rPr>
        <w:t xml:space="preserve"> </w:t>
      </w:r>
    </w:p>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09E4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65481846">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19D82AB2">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14EAAC68">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20D8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2C4D1A29">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24F17216">
            <w:pPr>
              <w:spacing w:before="40" w:after="0" w:line="360" w:lineRule="auto"/>
              <w:ind w:left="-993" w:leftChars="0" w:right="-1136" w:rightChars="0" w:firstLine="330" w:firstLineChars="150"/>
              <w:jc w:val="center"/>
              <w:rPr>
                <w:rFonts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0</w:t>
            </w:r>
          </w:p>
        </w:tc>
        <w:tc>
          <w:tcPr>
            <w:tcW w:w="2693" w:type="dxa"/>
            <w:shd w:val="clear" w:color="auto" w:fill="FFFFFF" w:themeFill="background1"/>
            <w:vAlign w:val="center"/>
          </w:tcPr>
          <w:p w14:paraId="5DB26BA4">
            <w:pPr>
              <w:keepNext/>
              <w:spacing w:before="40" w:after="0" w:line="360" w:lineRule="auto"/>
              <w:ind w:left="-993" w:leftChars="0" w:right="-1136" w:rightChars="0" w:firstLine="330" w:firstLineChars="150"/>
              <w:jc w:val="center"/>
              <w:rPr>
                <w:rFonts w:hint="default" w:ascii="Arial" w:hAnsi="Arial" w:cs="Arial" w:eastAsiaTheme="minorEastAsia"/>
                <w:color w:val="000000" w:themeColor="text1"/>
                <w:sz w:val="22"/>
                <w:szCs w:val="22"/>
                <w:lang w:val="pt-BR" w:eastAsia="en-US" w:bidi="ar-SA"/>
                <w14:textFill>
                  <w14:solidFill>
                    <w14:schemeClr w14:val="tx1"/>
                  </w14:solidFill>
                </w14:textFill>
              </w:rPr>
            </w:pPr>
            <w:r>
              <w:rPr>
                <w:rFonts w:ascii="Arial" w:hAnsi="Arial" w:cs="Arial"/>
                <w:color w:val="000000" w:themeColor="text1"/>
                <w14:textFill>
                  <w14:solidFill>
                    <w14:schemeClr w14:val="tx1"/>
                  </w14:solidFill>
                </w14:textFill>
              </w:rPr>
              <w:t>2500</w:t>
            </w:r>
          </w:p>
        </w:tc>
      </w:tr>
    </w:tbl>
    <w:p w14:paraId="6C82794C">
      <w:pPr>
        <w:rPr>
          <w:rFonts w:ascii="Arial" w:hAnsi="Arial" w:cs="Arial"/>
        </w:rPr>
      </w:pPr>
    </w:p>
    <w:p w14:paraId="27EC21A5">
      <w:pPr>
        <w:spacing w:after="0" w:line="360" w:lineRule="auto"/>
        <w:ind w:firstLine="709"/>
        <w:jc w:val="both"/>
        <w:rPr>
          <w:rFonts w:ascii="Arial" w:hAnsi="Arial" w:cs="Arial"/>
        </w:rPr>
      </w:pPr>
    </w:p>
    <w:p w14:paraId="0CE84ED8">
      <w:pPr>
        <w:spacing w:after="0" w:line="360" w:lineRule="auto"/>
        <w:ind w:right="0" w:rightChars="0"/>
        <w:jc w:val="both"/>
        <w:rPr>
          <w:rFonts w:ascii="Arial" w:hAnsi="Arial" w:cs="Arial"/>
        </w:rPr>
      </w:pPr>
      <w:r>
        <w:rPr>
          <w:rFonts w:ascii="Arial" w:hAnsi="Arial" w:cs="Arial"/>
        </w:rPr>
        <w:t>Neste mês, a equipe de enfermagem da Policlínica de Quirinópolis manteve seu compromisso com a prestação de cuidados de qualidade, realizando atendimentos e procedimentos de forma eficiente e segura. Foi observado o cumprimento contínuo dos protocolos assistenciais e de segurança, com as intercorrências devidamente identificadas e tratadas de maneira adequada.</w:t>
      </w:r>
    </w:p>
    <w:p w14:paraId="2D45B718">
      <w:pPr>
        <w:spacing w:after="0" w:line="360" w:lineRule="auto"/>
        <w:ind w:right="0" w:rightChars="0"/>
        <w:jc w:val="both"/>
        <w:rPr>
          <w:rFonts w:ascii="Arial" w:hAnsi="Arial" w:cs="Arial"/>
        </w:rPr>
      </w:pPr>
    </w:p>
    <w:p w14:paraId="472577AE">
      <w:pPr>
        <w:spacing w:after="0" w:line="360" w:lineRule="auto"/>
        <w:ind w:right="0" w:rightChars="0"/>
        <w:jc w:val="both"/>
        <w:rPr>
          <w:rFonts w:ascii="Arial" w:hAnsi="Arial" w:cs="Arial"/>
        </w:rPr>
      </w:pPr>
      <w:r>
        <w:rPr>
          <w:rFonts w:ascii="Arial" w:hAnsi="Arial" w:cs="Arial"/>
        </w:rPr>
        <w:t>A equipe também participou de atividades de capacitação e aprimoramento, visando a melhoria constante na qualidade do atendimento. A colaboração entre os membros da equipe foi reforçada, contribuindo para a otimização das rotinas de trabalho e a satisfação dos pacientes.</w:t>
      </w:r>
    </w:p>
    <w:p w14:paraId="036D256E">
      <w:pPr>
        <w:spacing w:after="0" w:line="360" w:lineRule="auto"/>
        <w:ind w:right="0" w:rightChars="0"/>
        <w:jc w:val="both"/>
        <w:rPr>
          <w:rFonts w:ascii="Arial" w:hAnsi="Arial" w:cs="Arial"/>
        </w:rPr>
      </w:pPr>
      <w:r>
        <w:rPr>
          <w:rFonts w:ascii="Arial" w:hAnsi="Arial" w:cs="Arial"/>
        </w:rPr>
        <w:t>Para o próximo mês, espera-se aprimorar ainda mais os fluxos de trabalho e garantir a continuidade de um atendimento humanizado e eficiente.</w:t>
      </w:r>
    </w:p>
    <w:p w14:paraId="02B7E4C7">
      <w:pPr>
        <w:spacing w:after="0" w:line="360" w:lineRule="auto"/>
        <w:ind w:right="0" w:rightChars="0" w:firstLine="709"/>
        <w:jc w:val="both"/>
        <w:rPr>
          <w:rFonts w:ascii="Arial" w:hAnsi="Arial" w:cs="Arial"/>
        </w:rPr>
      </w:pPr>
    </w:p>
    <w:p w14:paraId="4844EC71">
      <w:pPr>
        <w:spacing w:after="0" w:line="360" w:lineRule="auto"/>
        <w:ind w:right="0" w:rightChars="0" w:firstLine="709"/>
        <w:jc w:val="both"/>
        <w:rPr>
          <w:rFonts w:ascii="Arial" w:hAnsi="Arial" w:cs="Arial"/>
        </w:rPr>
      </w:pPr>
      <w:r>
        <w:rPr>
          <w:rFonts w:ascii="Arial" w:hAnsi="Arial" w:cs="Arial"/>
        </w:rPr>
        <w:t xml:space="preserve">Registra-se neste documento os relatos das ações, aquisições, melhorias, reconhecimentos e atividades desenvolvidas no período de 01 a </w:t>
      </w:r>
      <w:r>
        <w:rPr>
          <w:rFonts w:hint="default" w:ascii="Arial" w:hAnsi="Arial" w:cs="Arial"/>
          <w:lang w:val="pt-BR"/>
        </w:rPr>
        <w:t>31</w:t>
      </w:r>
      <w:r>
        <w:rPr>
          <w:rFonts w:ascii="Arial" w:hAnsi="Arial" w:cs="Arial"/>
        </w:rPr>
        <w:t xml:space="preserve"> de </w:t>
      </w:r>
      <w:r>
        <w:rPr>
          <w:rFonts w:hint="default" w:ascii="Arial" w:hAnsi="Arial" w:cs="Arial"/>
          <w:lang w:val="pt-BR"/>
        </w:rPr>
        <w:t>maio</w:t>
      </w:r>
      <w:r>
        <w:rPr>
          <w:rFonts w:ascii="Arial" w:hAnsi="Arial" w:cs="Arial"/>
        </w:rPr>
        <w:t xml:space="preserve"> de 2025 pelo Instituto de Planejamento e Gestão de Serviços Especializados - IPGSE na gestão e operacionalização da unidade Policlínica Estadual da Região Sudoeste - Quirinópolis.</w:t>
      </w:r>
    </w:p>
    <w:p w14:paraId="75E4EFA6">
      <w:pPr>
        <w:spacing w:after="0" w:line="276" w:lineRule="auto"/>
        <w:ind w:right="-1136"/>
        <w:jc w:val="center"/>
        <w:rPr>
          <w:rFonts w:ascii="Arial" w:hAnsi="Arial" w:cs="Arial"/>
        </w:rPr>
      </w:pPr>
    </w:p>
    <w:p w14:paraId="16F85A42">
      <w:pPr>
        <w:spacing w:after="0" w:line="276" w:lineRule="auto"/>
        <w:ind w:left="-993" w:right="-1136"/>
        <w:jc w:val="center"/>
        <w:rPr>
          <w:rFonts w:ascii="Arial" w:hAnsi="Arial" w:cs="Arial"/>
        </w:rPr>
      </w:pPr>
    </w:p>
    <w:p w14:paraId="591ED6EE">
      <w:pPr>
        <w:spacing w:after="0" w:line="276" w:lineRule="auto"/>
        <w:ind w:left="-993" w:right="-1136"/>
        <w:jc w:val="center"/>
        <w:rPr>
          <w:rFonts w:ascii="Arial" w:hAnsi="Arial" w:cs="Arial"/>
        </w:rPr>
      </w:pPr>
    </w:p>
    <w:p w14:paraId="0A489026">
      <w:pPr>
        <w:spacing w:after="0" w:line="276" w:lineRule="auto"/>
        <w:ind w:left="-993" w:right="-1136"/>
        <w:jc w:val="center"/>
        <w:rPr>
          <w:rFonts w:ascii="Arial" w:hAnsi="Arial" w:cs="Arial"/>
        </w:rPr>
      </w:pPr>
    </w:p>
    <w:p w14:paraId="14CE4AED">
      <w:pPr>
        <w:spacing w:after="0" w:line="276" w:lineRule="auto"/>
        <w:ind w:left="-993" w:right="-1136"/>
        <w:jc w:val="center"/>
        <w:rPr>
          <w:rFonts w:ascii="Arial" w:hAnsi="Arial" w:cs="Arial"/>
        </w:rPr>
      </w:pPr>
    </w:p>
    <w:p w14:paraId="2C0ED073">
      <w:pPr>
        <w:spacing w:after="0" w:line="276" w:lineRule="auto"/>
        <w:ind w:left="-993" w:right="-1136"/>
        <w:jc w:val="center"/>
        <w:rPr>
          <w:rFonts w:ascii="Arial" w:hAnsi="Arial" w:cs="Arial"/>
        </w:rPr>
      </w:pPr>
    </w:p>
    <w:p w14:paraId="40A021BE">
      <w:pPr>
        <w:spacing w:after="0" w:line="276" w:lineRule="auto"/>
        <w:ind w:left="-993" w:right="-1136"/>
        <w:jc w:val="center"/>
        <w:rPr>
          <w:rFonts w:ascii="Arial" w:hAnsi="Arial" w:cs="Arial"/>
        </w:rPr>
      </w:pPr>
    </w:p>
    <w:p w14:paraId="0E7286BD">
      <w:pPr>
        <w:spacing w:after="0" w:line="276" w:lineRule="auto"/>
        <w:ind w:left="-993" w:right="-1136"/>
        <w:jc w:val="center"/>
        <w:rPr>
          <w:rFonts w:ascii="Arial" w:hAnsi="Arial" w:cs="Arial"/>
        </w:rPr>
      </w:pPr>
    </w:p>
    <w:p w14:paraId="02F9AC83">
      <w:pPr>
        <w:spacing w:after="0" w:line="276" w:lineRule="auto"/>
        <w:ind w:left="-993" w:right="-1136"/>
        <w:jc w:val="center"/>
        <w:rPr>
          <w:rFonts w:ascii="Arial" w:hAnsi="Arial" w:cs="Arial"/>
        </w:rPr>
      </w:pPr>
    </w:p>
    <w:p w14:paraId="159E5FFE">
      <w:pPr>
        <w:spacing w:after="0" w:line="276" w:lineRule="auto"/>
        <w:ind w:left="-993" w:right="-1136"/>
        <w:jc w:val="center"/>
        <w:rPr>
          <w:rFonts w:ascii="Arial" w:hAnsi="Arial" w:cs="Arial"/>
        </w:rPr>
      </w:pPr>
    </w:p>
    <w:p w14:paraId="6E55335F">
      <w:pPr>
        <w:spacing w:after="0" w:line="276" w:lineRule="auto"/>
        <w:ind w:left="-993" w:right="-1136"/>
        <w:jc w:val="center"/>
        <w:rPr>
          <w:rFonts w:ascii="Arial" w:hAnsi="Arial" w:cs="Arial"/>
        </w:rPr>
      </w:pPr>
      <w:r>
        <w:rPr>
          <w:rFonts w:ascii="Arial" w:hAnsi="Arial" w:cs="Arial"/>
        </w:rPr>
        <w:t>Ricardo Martins Sousa</w:t>
      </w:r>
    </w:p>
    <w:p w14:paraId="55A0C01E">
      <w:pPr>
        <w:spacing w:after="0" w:line="276" w:lineRule="auto"/>
        <w:ind w:left="-993" w:right="-1136"/>
        <w:jc w:val="center"/>
        <w:rPr>
          <w:rFonts w:ascii="Arial" w:hAnsi="Arial" w:cs="Arial"/>
          <w:b/>
          <w:bCs/>
        </w:rPr>
      </w:pPr>
      <w:r>
        <w:rPr>
          <w:rFonts w:ascii="Arial" w:hAnsi="Arial" w:cs="Arial"/>
          <w:b/>
          <w:bCs/>
        </w:rPr>
        <w:t>DIRETOR ADMINISTRATIVO</w:t>
      </w:r>
    </w:p>
    <w:p w14:paraId="74844DB3">
      <w:pPr>
        <w:spacing w:after="0" w:line="276" w:lineRule="auto"/>
        <w:ind w:left="-993" w:right="-1136"/>
        <w:jc w:val="center"/>
        <w:rPr>
          <w:rFonts w:ascii="Arial" w:hAnsi="Arial" w:cs="Arial"/>
        </w:rPr>
      </w:pPr>
      <w:r>
        <w:rPr>
          <w:rFonts w:ascii="Arial" w:hAnsi="Arial" w:cs="Arial"/>
        </w:rPr>
        <w:t>Policlínica Estadual da Região Sudoeste – Quirinópolis</w:t>
      </w:r>
    </w:p>
    <w:p w14:paraId="727B8B16">
      <w:pPr>
        <w:spacing w:after="0" w:line="276" w:lineRule="auto"/>
        <w:ind w:left="-993" w:right="-1136"/>
        <w:jc w:val="center"/>
        <w:rPr>
          <w:rFonts w:ascii="Arial" w:hAnsi="Arial" w:cs="Arial"/>
        </w:rPr>
      </w:pPr>
    </w:p>
    <w:p w14:paraId="03C5AFA1">
      <w:pPr>
        <w:spacing w:after="0" w:line="276" w:lineRule="auto"/>
        <w:ind w:right="-1136"/>
        <w:rPr>
          <w:rFonts w:ascii="Arial" w:hAnsi="Arial" w:cs="Arial"/>
        </w:rPr>
      </w:pPr>
    </w:p>
    <w:p w14:paraId="595E95D4">
      <w:pPr>
        <w:spacing w:line="360" w:lineRule="auto"/>
        <w:ind w:right="-853" w:firstLine="851"/>
        <w:jc w:val="center"/>
        <w:rPr>
          <w:rFonts w:ascii="Arial" w:hAnsi="Arial" w:cs="Arial"/>
          <w:lang w:eastAsia="pt-BR"/>
        </w:rPr>
      </w:pPr>
      <w:r>
        <w:rPr>
          <w:rFonts w:hint="default" w:ascii="Arial" w:hAnsi="Arial" w:cs="Arial"/>
          <w:lang w:val="pt-BR"/>
        </w:rPr>
        <w:t xml:space="preserve">                                                                        </w:t>
      </w:r>
      <w:r>
        <w:rPr>
          <w:rFonts w:ascii="Arial" w:hAnsi="Arial" w:cs="Arial"/>
        </w:rPr>
        <w:t xml:space="preserve">Quirinópolis – GO, </w:t>
      </w:r>
      <w:r>
        <w:rPr>
          <w:rFonts w:hint="default" w:ascii="Arial" w:hAnsi="Arial" w:cs="Arial"/>
          <w:lang w:val="pt-BR"/>
        </w:rPr>
        <w:t>09</w:t>
      </w:r>
      <w:r>
        <w:rPr>
          <w:rFonts w:ascii="Arial" w:hAnsi="Arial" w:cs="Arial"/>
        </w:rPr>
        <w:t xml:space="preserve"> de </w:t>
      </w:r>
      <w:r>
        <w:rPr>
          <w:rFonts w:hint="default" w:ascii="Arial" w:hAnsi="Arial" w:cs="Arial"/>
          <w:lang w:val="pt-BR"/>
        </w:rPr>
        <w:t>maio</w:t>
      </w:r>
      <w:r>
        <w:rPr>
          <w:rFonts w:ascii="Arial" w:hAnsi="Arial" w:cs="Arial"/>
        </w:rPr>
        <w:t xml:space="preserve"> de 2025.</w:t>
      </w:r>
    </w:p>
    <w:sectPr>
      <w:headerReference r:id="rId6" w:type="first"/>
      <w:footerReference r:id="rId8" w:type="first"/>
      <w:headerReference r:id="rId5" w:type="default"/>
      <w:footerReference r:id="rId7" w:type="default"/>
      <w:pgSz w:w="11906" w:h="16838"/>
      <w:pgMar w:top="709" w:right="950" w:bottom="289" w:left="1276" w:header="142" w:footer="287"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330"/>
      </w:pPr>
      <w:r>
        <w:separator/>
      </w:r>
    </w:p>
  </w:endnote>
  <w:endnote w:type="continuationSeparator" w:id="1">
    <w:p>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Liberation Serif">
    <w:altName w:val="Times New Roman"/>
    <w:panose1 w:val="00000000000000000000"/>
    <w:charset w:val="00"/>
    <w:family w:val="roman"/>
    <w:pitch w:val="default"/>
    <w:sig w:usb0="00000000" w:usb1="00000000" w:usb2="00000021" w:usb3="00000000" w:csb0="000001BF" w:csb1="00000000"/>
  </w:font>
  <w:font w:name="Tahoma">
    <w:panose1 w:val="020B0604030504040204"/>
    <w:charset w:val="00"/>
    <w:family w:val="swiss"/>
    <w:pitch w:val="default"/>
    <w:sig w:usb0="E1002EFF" w:usb1="C000605B" w:usb2="00000029" w:usb3="00000000" w:csb0="200101FF" w:csb1="20280000"/>
  </w:font>
  <w:font w:name="Arial MT">
    <w:altName w:val="Arial"/>
    <w:panose1 w:val="00000000000000000000"/>
    <w:charset w:val="01"/>
    <w:family w:val="swiss"/>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Heavitas">
    <w:altName w:val="Cambria"/>
    <w:panose1 w:val="00000000000000000000"/>
    <w:charset w:val="00"/>
    <w:family w:val="auto"/>
    <w:pitch w:val="default"/>
    <w:sig w:usb0="00000000" w:usb1="00000000" w:usb2="00000000" w:usb3="00000000" w:csb0="0000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1"/>
    <w:family w:val="auto"/>
    <w:pitch w:val="default"/>
    <w:sig w:usb0="E4002EFF" w:usb1="C000247B" w:usb2="00000009" w:usb3="00000000" w:csb0="200001FF" w:csb1="00000000"/>
  </w:font>
  <w:font w:name="Arial">
    <w:panose1 w:val="020B0604020202020204"/>
    <w:charset w:val="01"/>
    <w:family w:val="auto"/>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7643929"/>
      <w:docPartObj>
        <w:docPartGallery w:val="autotext"/>
      </w:docPartObj>
    </w:sdtPr>
    <w:sdtEndPr>
      <w:rPr>
        <w:rFonts w:ascii="Arial" w:hAnsi="Arial" w:cs="Arial"/>
        <w:color w:val="FFFFFF" w:themeColor="background1"/>
        <w14:textFill>
          <w14:solidFill>
            <w14:schemeClr w14:val="bg1"/>
          </w14:solidFill>
        </w14:textFill>
      </w:rPr>
    </w:sdtEndPr>
    <w:sdtContent>
      <w:p w14:paraId="611FA45E">
        <w:pPr>
          <w:pStyle w:val="20"/>
          <w:jc w:val="center"/>
        </w:pPr>
      </w:p>
      <w:p w14:paraId="3104F896">
        <w:pPr>
          <w:pStyle w:val="20"/>
          <w:jc w:val="center"/>
          <w:rPr>
            <w:bCs/>
          </w:rPr>
        </w:pPr>
        <w:r>
          <w:rPr>
            <w:bCs/>
          </w:rPr>
          <w:t>Rua 03, nº 1, Residencial Atenas, Quirinópolis - GO, CEP: 75.862.584</w:t>
        </w:r>
      </w:p>
      <w:p w14:paraId="26C15D46">
        <w:pPr>
          <w:pStyle w:val="20"/>
          <w:jc w:val="center"/>
        </w:pPr>
        <w:r>
          <w:fldChar w:fldCharType="begin"/>
        </w:r>
        <w:r>
          <w:instrText xml:space="preserve"> HYPERLINK "mailto:atendimento@policlinicadequirinopolis.org.br" </w:instrText>
        </w:r>
        <w:r>
          <w:fldChar w:fldCharType="separate"/>
        </w:r>
        <w:r>
          <w:rPr>
            <w:rStyle w:val="13"/>
            <w:bCs/>
          </w:rPr>
          <w:t>atendimento@policlinicadequirinopolis.org.br</w:t>
        </w:r>
        <w:r>
          <w:rPr>
            <w:rStyle w:val="13"/>
            <w:bCs/>
          </w:rPr>
          <w:fldChar w:fldCharType="end"/>
        </w:r>
      </w:p>
      <w:p w14:paraId="2EF36BAB">
        <w:pPr>
          <w:pStyle w:val="20"/>
          <w:tabs>
            <w:tab w:val="left" w:pos="13750"/>
            <w:tab w:val="clear" w:pos="8504"/>
          </w:tabs>
          <w:ind w:left="993" w:right="-1701" w:hanging="993"/>
          <w:jc w:val="center"/>
          <w:rPr>
            <w:color w:val="FFFFFF" w:themeColor="background1"/>
            <w14:textFill>
              <w14:solidFill>
                <w14:schemeClr w14:val="bg1"/>
              </w14:solidFill>
            </w14:textFill>
          </w:rPr>
        </w:pPr>
        <w:r>
          <w:rPr>
            <w:color w:val="FFFFFF" w:themeColor="background1"/>
            <w14:textFill>
              <w14:solidFill>
                <w14:schemeClr w14:val="bg1"/>
              </w14:solidFill>
            </w14:textFill>
          </w:rPr>
          <w:t xml:space="preserve">                                                                                                                                                                             </w:t>
        </w:r>
        <w:r>
          <w:rPr>
            <w:rFonts w:ascii="Heavitas" w:hAnsi="Heavitas" w:cs="Times New Roman"/>
            <w:color w:val="FFFFFF" w:themeColor="background1"/>
            <w14:textFill>
              <w14:solidFill>
                <w14:schemeClr w14:val="bg1"/>
              </w14:solidFill>
            </w14:textFill>
          </w:rPr>
          <w:fldChar w:fldCharType="begin"/>
        </w:r>
        <w:r>
          <w:rPr>
            <w:rFonts w:ascii="Heavitas" w:hAnsi="Heavitas" w:cs="Times New Roman"/>
            <w:color w:val="FFFFFF" w:themeColor="background1"/>
            <w14:textFill>
              <w14:solidFill>
                <w14:schemeClr w14:val="bg1"/>
              </w14:solidFill>
            </w14:textFill>
          </w:rPr>
          <w:instrText xml:space="preserve">PAGE   \* MERGEFORMAT</w:instrText>
        </w:r>
        <w:r>
          <w:rPr>
            <w:rFonts w:ascii="Heavitas" w:hAnsi="Heavitas" w:cs="Times New Roman"/>
            <w:color w:val="FFFFFF" w:themeColor="background1"/>
            <w14:textFill>
              <w14:solidFill>
                <w14:schemeClr w14:val="bg1"/>
              </w14:solidFill>
            </w14:textFill>
          </w:rPr>
          <w:fldChar w:fldCharType="separate"/>
        </w:r>
        <w:r>
          <w:rPr>
            <w:rFonts w:ascii="Heavitas" w:hAnsi="Heavitas" w:cs="Times New Roman"/>
            <w:color w:val="FFFFFF" w:themeColor="background1"/>
            <w14:textFill>
              <w14:solidFill>
                <w14:schemeClr w14:val="bg1"/>
              </w14:solidFill>
            </w14:textFill>
          </w:rPr>
          <w:t>21</w:t>
        </w:r>
        <w:r>
          <w:rPr>
            <w:rFonts w:ascii="Heavitas" w:hAnsi="Heavitas" w:cs="Times New Roman"/>
            <w:color w:val="FFFFFF" w:themeColor="background1"/>
            <w14:textFill>
              <w14:solidFill>
                <w14:schemeClr w14:val="bg1"/>
              </w14:solidFill>
            </w14:textFill>
          </w:rPr>
          <w:fldChar w:fldCharType="end"/>
        </w:r>
      </w:p>
    </w:sdtContent>
  </w:sdt>
  <w:p w14:paraId="4B763CF0">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ED286">
    <w:pPr>
      <w:pStyle w:val="20"/>
      <w:tabs>
        <w:tab w:val="left" w:pos="465"/>
        <w:tab w:val="center" w:pos="4322"/>
      </w:tabs>
    </w:pPr>
    <w:r>
      <w:rPr>
        <w:bCs/>
      </w:rPr>
      <w:tab/>
    </w:r>
    <w:r>
      <w:rPr>
        <w:bC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330"/>
      </w:pPr>
      <w:r>
        <w:separator/>
      </w:r>
    </w:p>
  </w:footnote>
  <w:footnote w:type="continuationSeparator" w:id="1">
    <w:p>
      <w:pPr>
        <w:spacing w:line="360" w:lineRule="auto"/>
        <w:ind w:firstLine="33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2677">
    <w:pPr>
      <w:pStyle w:val="19"/>
    </w:pPr>
    <w:r>
      <w:drawing>
        <wp:inline distT="0" distB="0" distL="0" distR="0">
          <wp:extent cx="1798955" cy="497840"/>
          <wp:effectExtent l="0" t="0" r="0" b="0"/>
          <wp:docPr id="2548151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drawing>
        <wp:inline distT="0" distB="0" distL="0" distR="0">
          <wp:extent cx="3562350" cy="576580"/>
          <wp:effectExtent l="0" t="0" r="0" b="0"/>
          <wp:docPr id="25226795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F2F89CD">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C271C">
    <w:pPr>
      <w:pStyle w:val="19"/>
      <w:tabs>
        <w:tab w:val="left" w:pos="7800"/>
        <w:tab w:val="right" w:pos="9071"/>
        <w:tab w:val="clear" w:pos="4252"/>
        <w:tab w:val="clear" w:pos="850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1px;height:128px" o:bullet="t">
        <v:imagedata r:id="rId1" o:title=""/>
      </v:shape>
    </w:pict>
  </w:numPicBullet>
  <w:abstractNum w:abstractNumId="0">
    <w:nsid w:val="07B72D05"/>
    <w:multiLevelType w:val="multilevel"/>
    <w:tmpl w:val="07B72D05"/>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9750449"/>
    <w:multiLevelType w:val="multilevel"/>
    <w:tmpl w:val="09750449"/>
    <w:lvl w:ilvl="0" w:tentative="0">
      <w:start w:val="1"/>
      <w:numFmt w:val="bullet"/>
      <w:lvlText w:val=""/>
      <w:lvlJc w:val="left"/>
      <w:pPr>
        <w:ind w:left="1080" w:hanging="360"/>
      </w:pPr>
      <w:rPr>
        <w:rFonts w:hint="default" w:ascii="Symbol" w:hAnsi="Symbol"/>
        <w:color w:val="auto"/>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
    <w:nsid w:val="1D771ACF"/>
    <w:multiLevelType w:val="multilevel"/>
    <w:tmpl w:val="1D771ACF"/>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720" w:hanging="360"/>
      </w:pPr>
      <w:rPr>
        <w:rFonts w:hint="default" w:ascii="Wingdings" w:hAnsi="Wingdings"/>
      </w:rPr>
    </w:lvl>
    <w:lvl w:ilvl="2" w:tentative="0">
      <w:start w:val="1"/>
      <w:numFmt w:val="bullet"/>
      <w:lvlText w:val=""/>
      <w:lvlJc w:val="left"/>
      <w:pPr>
        <w:ind w:left="1080" w:hanging="360"/>
      </w:pPr>
      <w:rPr>
        <w:rFonts w:hint="default" w:ascii="Wingdings" w:hAnsi="Wingdings"/>
      </w:rPr>
    </w:lvl>
    <w:lvl w:ilvl="3" w:tentative="0">
      <w:start w:val="1"/>
      <w:numFmt w:val="bullet"/>
      <w:lvlText w:val=""/>
      <w:lvlJc w:val="left"/>
      <w:pPr>
        <w:ind w:left="1440" w:hanging="360"/>
      </w:pPr>
      <w:rPr>
        <w:rFonts w:hint="default" w:ascii="Symbol" w:hAnsi="Symbol"/>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abstractNum w:abstractNumId="3">
    <w:nsid w:val="1F901F68"/>
    <w:multiLevelType w:val="multilevel"/>
    <w:tmpl w:val="1F901F68"/>
    <w:lvl w:ilvl="0" w:tentative="0">
      <w:start w:val="1"/>
      <w:numFmt w:val="decimal"/>
      <w:lvlText w:val="%1."/>
      <w:lvlJc w:val="left"/>
      <w:pPr>
        <w:ind w:left="-271" w:hanging="360"/>
      </w:pPr>
    </w:lvl>
    <w:lvl w:ilvl="1" w:tentative="0">
      <w:start w:val="1"/>
      <w:numFmt w:val="decimal"/>
      <w:isLgl/>
      <w:lvlText w:val="%1.%2"/>
      <w:lvlJc w:val="left"/>
      <w:pPr>
        <w:ind w:left="-136" w:hanging="495"/>
      </w:pPr>
      <w:rPr>
        <w:rFonts w:hint="default"/>
      </w:rPr>
    </w:lvl>
    <w:lvl w:ilvl="2" w:tentative="0">
      <w:start w:val="1"/>
      <w:numFmt w:val="decimal"/>
      <w:isLgl/>
      <w:lvlText w:val="%1.%2.%3"/>
      <w:lvlJc w:val="left"/>
      <w:pPr>
        <w:ind w:left="89" w:hanging="720"/>
      </w:pPr>
      <w:rPr>
        <w:rFonts w:hint="default"/>
      </w:rPr>
    </w:lvl>
    <w:lvl w:ilvl="3" w:tentative="0">
      <w:start w:val="1"/>
      <w:numFmt w:val="decimal"/>
      <w:isLgl/>
      <w:lvlText w:val="%1.%2.%3.%4"/>
      <w:lvlJc w:val="left"/>
      <w:pPr>
        <w:ind w:left="89" w:hanging="720"/>
      </w:pPr>
      <w:rPr>
        <w:rFonts w:hint="default"/>
      </w:rPr>
    </w:lvl>
    <w:lvl w:ilvl="4" w:tentative="0">
      <w:start w:val="1"/>
      <w:numFmt w:val="decimal"/>
      <w:isLgl/>
      <w:lvlText w:val="%1.%2.%3.%4.%5"/>
      <w:lvlJc w:val="left"/>
      <w:pPr>
        <w:ind w:left="449" w:hanging="1080"/>
      </w:pPr>
      <w:rPr>
        <w:rFonts w:hint="default"/>
      </w:rPr>
    </w:lvl>
    <w:lvl w:ilvl="5" w:tentative="0">
      <w:start w:val="1"/>
      <w:numFmt w:val="decimal"/>
      <w:isLgl/>
      <w:lvlText w:val="%1.%2.%3.%4.%5.%6"/>
      <w:lvlJc w:val="left"/>
      <w:pPr>
        <w:ind w:left="449" w:hanging="1080"/>
      </w:pPr>
      <w:rPr>
        <w:rFonts w:hint="default"/>
      </w:rPr>
    </w:lvl>
    <w:lvl w:ilvl="6" w:tentative="0">
      <w:start w:val="1"/>
      <w:numFmt w:val="decimal"/>
      <w:isLgl/>
      <w:lvlText w:val="%1.%2.%3.%4.%5.%6.%7"/>
      <w:lvlJc w:val="left"/>
      <w:pPr>
        <w:ind w:left="809" w:hanging="1440"/>
      </w:pPr>
      <w:rPr>
        <w:rFonts w:hint="default"/>
      </w:rPr>
    </w:lvl>
    <w:lvl w:ilvl="7" w:tentative="0">
      <w:start w:val="1"/>
      <w:numFmt w:val="decimal"/>
      <w:isLgl/>
      <w:lvlText w:val="%1.%2.%3.%4.%5.%6.%7.%8"/>
      <w:lvlJc w:val="left"/>
      <w:pPr>
        <w:ind w:left="809" w:hanging="1440"/>
      </w:pPr>
      <w:rPr>
        <w:rFonts w:hint="default"/>
      </w:rPr>
    </w:lvl>
    <w:lvl w:ilvl="8" w:tentative="0">
      <w:start w:val="1"/>
      <w:numFmt w:val="decimal"/>
      <w:isLgl/>
      <w:lvlText w:val="%1.%2.%3.%4.%5.%6.%7.%8.%9"/>
      <w:lvlJc w:val="left"/>
      <w:pPr>
        <w:ind w:left="809" w:hanging="1440"/>
      </w:pPr>
      <w:rPr>
        <w:rFonts w:hint="default"/>
      </w:rPr>
    </w:lvl>
  </w:abstractNum>
  <w:abstractNum w:abstractNumId="4">
    <w:nsid w:val="281C6FDC"/>
    <w:multiLevelType w:val="multilevel"/>
    <w:tmpl w:val="281C6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A83044F"/>
    <w:multiLevelType w:val="multilevel"/>
    <w:tmpl w:val="3A83044F"/>
    <w:lvl w:ilvl="0" w:tentative="0">
      <w:start w:val="1"/>
      <w:numFmt w:val="decimal"/>
      <w:pStyle w:val="3"/>
      <w:lvlText w:val="%1."/>
      <w:lvlJc w:val="left"/>
      <w:pPr>
        <w:ind w:left="720" w:hanging="360"/>
      </w:pPr>
      <w:rPr>
        <w:rFonts w:hint="default" w:ascii="Arial" w:hAnsi="Arial" w:cs="Arial"/>
        <w:b/>
        <w:bCs/>
        <w:color w:val="000000" w:themeColor="text1"/>
        <w:sz w:val="22"/>
        <w:szCs w:val="22"/>
        <w14:textFill>
          <w14:solidFill>
            <w14:schemeClr w14:val="tx1"/>
          </w14:solidFill>
        </w14:textFill>
      </w:rPr>
    </w:lvl>
    <w:lvl w:ilvl="1" w:tentative="0">
      <w:start w:val="0"/>
      <w:numFmt w:val="decimal"/>
      <w:isLgl/>
      <w:lvlText w:val="%1.%2"/>
      <w:lvlJc w:val="left"/>
      <w:pPr>
        <w:ind w:left="1494" w:hanging="360"/>
      </w:pPr>
      <w:rPr>
        <w:rFonts w:hint="default"/>
      </w:rPr>
    </w:lvl>
    <w:lvl w:ilvl="2" w:tentative="0">
      <w:start w:val="1"/>
      <w:numFmt w:val="decimal"/>
      <w:isLgl/>
      <w:lvlText w:val="%1.%2.%3"/>
      <w:lvlJc w:val="left"/>
      <w:pPr>
        <w:ind w:left="2628" w:hanging="720"/>
      </w:pPr>
      <w:rPr>
        <w:rFonts w:hint="default"/>
      </w:rPr>
    </w:lvl>
    <w:lvl w:ilvl="3" w:tentative="0">
      <w:start w:val="1"/>
      <w:numFmt w:val="decimal"/>
      <w:isLgl/>
      <w:lvlText w:val="%1.%2.%3.%4"/>
      <w:lvlJc w:val="left"/>
      <w:pPr>
        <w:ind w:left="3402" w:hanging="720"/>
      </w:pPr>
      <w:rPr>
        <w:rFonts w:hint="default"/>
      </w:rPr>
    </w:lvl>
    <w:lvl w:ilvl="4" w:tentative="0">
      <w:start w:val="1"/>
      <w:numFmt w:val="decimal"/>
      <w:isLgl/>
      <w:lvlText w:val="%1.%2.%3.%4.%5"/>
      <w:lvlJc w:val="left"/>
      <w:pPr>
        <w:ind w:left="4536" w:hanging="1080"/>
      </w:pPr>
      <w:rPr>
        <w:rFonts w:hint="default"/>
      </w:rPr>
    </w:lvl>
    <w:lvl w:ilvl="5" w:tentative="0">
      <w:start w:val="1"/>
      <w:numFmt w:val="decimal"/>
      <w:isLgl/>
      <w:lvlText w:val="%1.%2.%3.%4.%5.%6"/>
      <w:lvlJc w:val="left"/>
      <w:pPr>
        <w:ind w:left="5310" w:hanging="1080"/>
      </w:pPr>
      <w:rPr>
        <w:rFonts w:hint="default"/>
      </w:rPr>
    </w:lvl>
    <w:lvl w:ilvl="6" w:tentative="0">
      <w:start w:val="1"/>
      <w:numFmt w:val="decimal"/>
      <w:isLgl/>
      <w:lvlText w:val="%1.%2.%3.%4.%5.%6.%7"/>
      <w:lvlJc w:val="left"/>
      <w:pPr>
        <w:ind w:left="6444" w:hanging="1440"/>
      </w:pPr>
      <w:rPr>
        <w:rFonts w:hint="default"/>
      </w:rPr>
    </w:lvl>
    <w:lvl w:ilvl="7" w:tentative="0">
      <w:start w:val="1"/>
      <w:numFmt w:val="decimal"/>
      <w:isLgl/>
      <w:lvlText w:val="%1.%2.%3.%4.%5.%6.%7.%8"/>
      <w:lvlJc w:val="left"/>
      <w:pPr>
        <w:ind w:left="7218" w:hanging="1440"/>
      </w:pPr>
      <w:rPr>
        <w:rFonts w:hint="default"/>
      </w:rPr>
    </w:lvl>
    <w:lvl w:ilvl="8" w:tentative="0">
      <w:start w:val="1"/>
      <w:numFmt w:val="decimal"/>
      <w:isLgl/>
      <w:lvlText w:val="%1.%2.%3.%4.%5.%6.%7.%8.%9"/>
      <w:lvlJc w:val="left"/>
      <w:pPr>
        <w:ind w:left="8352" w:hanging="1800"/>
      </w:pPr>
      <w:rPr>
        <w:rFonts w:hint="default"/>
      </w:rPr>
    </w:lvl>
  </w:abstractNum>
  <w:abstractNum w:abstractNumId="6">
    <w:nsid w:val="3B0613E1"/>
    <w:multiLevelType w:val="multilevel"/>
    <w:tmpl w:val="3B0613E1"/>
    <w:lvl w:ilvl="0" w:tentative="0">
      <w:start w:val="1"/>
      <w:numFmt w:val="bullet"/>
      <w:lvlText w:val=""/>
      <w:lvlPicBulletId w:val="0"/>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C0CC566"/>
    <w:multiLevelType w:val="singleLevel"/>
    <w:tmpl w:val="3C0CC56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3F363059"/>
    <w:multiLevelType w:val="multilevel"/>
    <w:tmpl w:val="3F363059"/>
    <w:lvl w:ilvl="0" w:tentative="0">
      <w:start w:val="1"/>
      <w:numFmt w:val="bullet"/>
      <w:lvlText w:val=""/>
      <w:lvlJc w:val="left"/>
      <w:pPr>
        <w:ind w:left="-273" w:hanging="360"/>
      </w:pPr>
      <w:rPr>
        <w:rFonts w:hint="default" w:ascii="Symbol" w:hAnsi="Symbol"/>
      </w:rPr>
    </w:lvl>
    <w:lvl w:ilvl="1" w:tentative="0">
      <w:start w:val="1"/>
      <w:numFmt w:val="bullet"/>
      <w:lvlText w:val="o"/>
      <w:lvlJc w:val="left"/>
      <w:pPr>
        <w:ind w:left="447" w:hanging="360"/>
      </w:pPr>
      <w:rPr>
        <w:rFonts w:hint="default" w:ascii="Courier New" w:hAnsi="Courier New" w:cs="Courier New"/>
      </w:rPr>
    </w:lvl>
    <w:lvl w:ilvl="2" w:tentative="0">
      <w:start w:val="1"/>
      <w:numFmt w:val="bullet"/>
      <w:lvlText w:val=""/>
      <w:lvlJc w:val="left"/>
      <w:pPr>
        <w:ind w:left="1167" w:hanging="360"/>
      </w:pPr>
      <w:rPr>
        <w:rFonts w:hint="default" w:ascii="Wingdings" w:hAnsi="Wingdings"/>
      </w:rPr>
    </w:lvl>
    <w:lvl w:ilvl="3" w:tentative="0">
      <w:start w:val="1"/>
      <w:numFmt w:val="bullet"/>
      <w:lvlText w:val=""/>
      <w:lvlJc w:val="left"/>
      <w:pPr>
        <w:ind w:left="1887" w:hanging="360"/>
      </w:pPr>
      <w:rPr>
        <w:rFonts w:hint="default" w:ascii="Symbol" w:hAnsi="Symbol"/>
      </w:rPr>
    </w:lvl>
    <w:lvl w:ilvl="4" w:tentative="0">
      <w:start w:val="1"/>
      <w:numFmt w:val="bullet"/>
      <w:lvlText w:val="o"/>
      <w:lvlJc w:val="left"/>
      <w:pPr>
        <w:ind w:left="2607" w:hanging="360"/>
      </w:pPr>
      <w:rPr>
        <w:rFonts w:hint="default" w:ascii="Courier New" w:hAnsi="Courier New" w:cs="Courier New"/>
      </w:rPr>
    </w:lvl>
    <w:lvl w:ilvl="5" w:tentative="0">
      <w:start w:val="1"/>
      <w:numFmt w:val="bullet"/>
      <w:lvlText w:val=""/>
      <w:lvlJc w:val="left"/>
      <w:pPr>
        <w:ind w:left="3327" w:hanging="360"/>
      </w:pPr>
      <w:rPr>
        <w:rFonts w:hint="default" w:ascii="Wingdings" w:hAnsi="Wingdings"/>
      </w:rPr>
    </w:lvl>
    <w:lvl w:ilvl="6" w:tentative="0">
      <w:start w:val="1"/>
      <w:numFmt w:val="bullet"/>
      <w:lvlText w:val=""/>
      <w:lvlJc w:val="left"/>
      <w:pPr>
        <w:ind w:left="4047" w:hanging="360"/>
      </w:pPr>
      <w:rPr>
        <w:rFonts w:hint="default" w:ascii="Symbol" w:hAnsi="Symbol"/>
      </w:rPr>
    </w:lvl>
    <w:lvl w:ilvl="7" w:tentative="0">
      <w:start w:val="1"/>
      <w:numFmt w:val="bullet"/>
      <w:lvlText w:val="o"/>
      <w:lvlJc w:val="left"/>
      <w:pPr>
        <w:ind w:left="4767" w:hanging="360"/>
      </w:pPr>
      <w:rPr>
        <w:rFonts w:hint="default" w:ascii="Courier New" w:hAnsi="Courier New" w:cs="Courier New"/>
      </w:rPr>
    </w:lvl>
    <w:lvl w:ilvl="8" w:tentative="0">
      <w:start w:val="1"/>
      <w:numFmt w:val="bullet"/>
      <w:lvlText w:val=""/>
      <w:lvlJc w:val="left"/>
      <w:pPr>
        <w:ind w:left="5487" w:hanging="360"/>
      </w:pPr>
      <w:rPr>
        <w:rFonts w:hint="default" w:ascii="Wingdings" w:hAnsi="Wingdings"/>
      </w:rPr>
    </w:lvl>
  </w:abstractNum>
  <w:abstractNum w:abstractNumId="9">
    <w:nsid w:val="48CF7947"/>
    <w:multiLevelType w:val="multilevel"/>
    <w:tmpl w:val="48CF7947"/>
    <w:lvl w:ilvl="0" w:tentative="0">
      <w:start w:val="5"/>
      <w:numFmt w:val="decimal"/>
      <w:pStyle w:val="5"/>
      <w:lvlText w:val="%1.1"/>
      <w:lvlJc w:val="left"/>
      <w:pPr>
        <w:ind w:left="720" w:hanging="360"/>
      </w:pPr>
      <w:rPr>
        <w:rFonts w:hint="default"/>
        <w:color w:val="000000" w:themeColor="text1"/>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4CF63DDA"/>
    <w:multiLevelType w:val="multilevel"/>
    <w:tmpl w:val="4CF63DDA"/>
    <w:lvl w:ilvl="0" w:tentative="0">
      <w:start w:val="1"/>
      <w:numFmt w:val="bullet"/>
      <w:lvlText w:val=""/>
      <w:lvlJc w:val="left"/>
      <w:pPr>
        <w:ind w:left="1505" w:hanging="360"/>
      </w:pPr>
      <w:rPr>
        <w:rFonts w:hint="default" w:ascii="Symbol" w:hAnsi="Symbol"/>
      </w:rPr>
    </w:lvl>
    <w:lvl w:ilvl="1" w:tentative="0">
      <w:start w:val="1"/>
      <w:numFmt w:val="bullet"/>
      <w:lvlText w:val="o"/>
      <w:lvlJc w:val="left"/>
      <w:pPr>
        <w:ind w:left="2225" w:hanging="360"/>
      </w:pPr>
      <w:rPr>
        <w:rFonts w:hint="default" w:ascii="Courier New" w:hAnsi="Courier New" w:cs="Courier New"/>
      </w:rPr>
    </w:lvl>
    <w:lvl w:ilvl="2" w:tentative="0">
      <w:start w:val="1"/>
      <w:numFmt w:val="bullet"/>
      <w:lvlText w:val=""/>
      <w:lvlJc w:val="left"/>
      <w:pPr>
        <w:ind w:left="2945" w:hanging="360"/>
      </w:pPr>
      <w:rPr>
        <w:rFonts w:hint="default" w:ascii="Wingdings" w:hAnsi="Wingdings"/>
      </w:rPr>
    </w:lvl>
    <w:lvl w:ilvl="3" w:tentative="0">
      <w:start w:val="1"/>
      <w:numFmt w:val="bullet"/>
      <w:lvlText w:val=""/>
      <w:lvlJc w:val="left"/>
      <w:pPr>
        <w:ind w:left="3665" w:hanging="360"/>
      </w:pPr>
      <w:rPr>
        <w:rFonts w:hint="default" w:ascii="Symbol" w:hAnsi="Symbol"/>
      </w:rPr>
    </w:lvl>
    <w:lvl w:ilvl="4" w:tentative="0">
      <w:start w:val="1"/>
      <w:numFmt w:val="bullet"/>
      <w:lvlText w:val="o"/>
      <w:lvlJc w:val="left"/>
      <w:pPr>
        <w:ind w:left="4385" w:hanging="360"/>
      </w:pPr>
      <w:rPr>
        <w:rFonts w:hint="default" w:ascii="Courier New" w:hAnsi="Courier New" w:cs="Courier New"/>
      </w:rPr>
    </w:lvl>
    <w:lvl w:ilvl="5" w:tentative="0">
      <w:start w:val="1"/>
      <w:numFmt w:val="bullet"/>
      <w:lvlText w:val=""/>
      <w:lvlJc w:val="left"/>
      <w:pPr>
        <w:ind w:left="5105" w:hanging="360"/>
      </w:pPr>
      <w:rPr>
        <w:rFonts w:hint="default" w:ascii="Wingdings" w:hAnsi="Wingdings"/>
      </w:rPr>
    </w:lvl>
    <w:lvl w:ilvl="6" w:tentative="0">
      <w:start w:val="1"/>
      <w:numFmt w:val="bullet"/>
      <w:lvlText w:val=""/>
      <w:lvlJc w:val="left"/>
      <w:pPr>
        <w:ind w:left="5825" w:hanging="360"/>
      </w:pPr>
      <w:rPr>
        <w:rFonts w:hint="default" w:ascii="Symbol" w:hAnsi="Symbol"/>
      </w:rPr>
    </w:lvl>
    <w:lvl w:ilvl="7" w:tentative="0">
      <w:start w:val="1"/>
      <w:numFmt w:val="bullet"/>
      <w:lvlText w:val="o"/>
      <w:lvlJc w:val="left"/>
      <w:pPr>
        <w:ind w:left="6545" w:hanging="360"/>
      </w:pPr>
      <w:rPr>
        <w:rFonts w:hint="default" w:ascii="Courier New" w:hAnsi="Courier New" w:cs="Courier New"/>
      </w:rPr>
    </w:lvl>
    <w:lvl w:ilvl="8" w:tentative="0">
      <w:start w:val="1"/>
      <w:numFmt w:val="bullet"/>
      <w:lvlText w:val=""/>
      <w:lvlJc w:val="left"/>
      <w:pPr>
        <w:ind w:left="7265" w:hanging="360"/>
      </w:pPr>
      <w:rPr>
        <w:rFonts w:hint="default" w:ascii="Wingdings" w:hAnsi="Wingdings"/>
      </w:rPr>
    </w:lvl>
  </w:abstractNum>
  <w:abstractNum w:abstractNumId="11">
    <w:nsid w:val="53BB7F35"/>
    <w:multiLevelType w:val="multilevel"/>
    <w:tmpl w:val="53BB7F35"/>
    <w:lvl w:ilvl="0" w:tentative="0">
      <w:start w:val="5"/>
      <w:numFmt w:val="decimal"/>
      <w:pStyle w:val="16"/>
      <w:lvlText w:val="%1."/>
      <w:lvlJc w:val="left"/>
      <w:pPr>
        <w:ind w:left="1068" w:hanging="360"/>
      </w:pPr>
      <w:rPr>
        <w:rFonts w:hint="default" w:ascii="Arial" w:hAnsi="Arial" w:cs="Arial"/>
        <w:b/>
        <w:bCs/>
        <w:color w:val="000000" w:themeColor="text1"/>
        <w:sz w:val="24"/>
        <w:szCs w:val="24"/>
        <w14:textFill>
          <w14:solidFill>
            <w14:schemeClr w14:val="tx1"/>
          </w14:solidFill>
        </w14:textFill>
      </w:rPr>
    </w:lvl>
    <w:lvl w:ilvl="1" w:tentative="0">
      <w:start w:val="5"/>
      <w:numFmt w:val="decimal"/>
      <w:lvlText w:val="%2."/>
      <w:lvlJc w:val="left"/>
      <w:pPr>
        <w:ind w:left="1494" w:hanging="360"/>
      </w:pPr>
      <w:rPr>
        <w:rFonts w:hint="default"/>
      </w:rPr>
    </w:lvl>
    <w:lvl w:ilvl="2" w:tentative="0">
      <w:start w:val="1"/>
      <w:numFmt w:val="decimal"/>
      <w:isLgl/>
      <w:lvlText w:val="%1.%2.%3"/>
      <w:lvlJc w:val="left"/>
      <w:pPr>
        <w:ind w:left="1428" w:hanging="720"/>
      </w:pPr>
      <w:rPr>
        <w:rFonts w:hint="default" w:ascii="Arial" w:hAnsi="Arial" w:cs="Arial"/>
        <w:b w:val="0"/>
        <w:bCs w:val="0"/>
        <w:color w:val="000000" w:themeColor="text1"/>
        <w:sz w:val="22"/>
        <w:szCs w:val="22"/>
        <w14:textFill>
          <w14:solidFill>
            <w14:schemeClr w14:val="tx1"/>
          </w14:solidFill>
        </w14:textFill>
      </w:rPr>
    </w:lvl>
    <w:lvl w:ilvl="3" w:tentative="0">
      <w:start w:val="1"/>
      <w:numFmt w:val="decimal"/>
      <w:isLgl/>
      <w:lvlText w:val="%1.%2.%3.%4"/>
      <w:lvlJc w:val="left"/>
      <w:pPr>
        <w:ind w:left="1428" w:hanging="720"/>
      </w:pPr>
      <w:rPr>
        <w:rFonts w:hint="default"/>
        <w:b w:val="0"/>
        <w:bCs/>
      </w:rPr>
    </w:lvl>
    <w:lvl w:ilvl="4" w:tentative="0">
      <w:start w:val="1"/>
      <w:numFmt w:val="decimal"/>
      <w:isLgl/>
      <w:lvlText w:val="%1.%2.%3.%4.%5"/>
      <w:lvlJc w:val="left"/>
      <w:pPr>
        <w:ind w:left="1788" w:hanging="1080"/>
      </w:pPr>
      <w:rPr>
        <w:rFonts w:hint="default"/>
      </w:rPr>
    </w:lvl>
    <w:lvl w:ilvl="5" w:tentative="0">
      <w:start w:val="1"/>
      <w:numFmt w:val="decimal"/>
      <w:isLgl/>
      <w:lvlText w:val="%1.%2.%3.%4.%5.%6"/>
      <w:lvlJc w:val="left"/>
      <w:pPr>
        <w:ind w:left="1788" w:hanging="1080"/>
      </w:pPr>
      <w:rPr>
        <w:rFonts w:hint="default"/>
      </w:rPr>
    </w:lvl>
    <w:lvl w:ilvl="6" w:tentative="0">
      <w:start w:val="1"/>
      <w:numFmt w:val="decimal"/>
      <w:isLgl/>
      <w:lvlText w:val="%1.%2.%3.%4.%5.%6.%7"/>
      <w:lvlJc w:val="left"/>
      <w:pPr>
        <w:ind w:left="2148" w:hanging="1440"/>
      </w:pPr>
      <w:rPr>
        <w:rFonts w:hint="default"/>
      </w:rPr>
    </w:lvl>
    <w:lvl w:ilvl="7" w:tentative="0">
      <w:start w:val="1"/>
      <w:numFmt w:val="decimal"/>
      <w:isLgl/>
      <w:lvlText w:val="%1.%2.%3.%4.%5.%6.%7.%8"/>
      <w:lvlJc w:val="left"/>
      <w:pPr>
        <w:ind w:left="2148" w:hanging="1440"/>
      </w:pPr>
      <w:rPr>
        <w:rFonts w:hint="default"/>
      </w:rPr>
    </w:lvl>
    <w:lvl w:ilvl="8" w:tentative="0">
      <w:start w:val="1"/>
      <w:numFmt w:val="decimal"/>
      <w:isLgl/>
      <w:lvlText w:val="%1.%2.%3.%4.%5.%6.%7.%8.%9"/>
      <w:lvlJc w:val="left"/>
      <w:pPr>
        <w:ind w:left="2148" w:hanging="1440"/>
      </w:pPr>
      <w:rPr>
        <w:rFonts w:hint="default"/>
      </w:rPr>
    </w:lvl>
  </w:abstractNum>
  <w:abstractNum w:abstractNumId="12">
    <w:nsid w:val="588661A4"/>
    <w:multiLevelType w:val="multilevel"/>
    <w:tmpl w:val="588661A4"/>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3">
    <w:nsid w:val="638C3813"/>
    <w:multiLevelType w:val="multilevel"/>
    <w:tmpl w:val="638C3813"/>
    <w:lvl w:ilvl="0" w:tentative="0">
      <w:start w:val="0"/>
      <w:numFmt w:val="bullet"/>
      <w:lvlText w:val=""/>
      <w:lvlJc w:val="left"/>
      <w:pPr>
        <w:ind w:left="1211" w:hanging="360"/>
      </w:pPr>
      <w:rPr>
        <w:rFonts w:hint="default" w:ascii="Symbol" w:hAnsi="Symbol" w:cs="Arial" w:eastAsiaTheme="minorHAnsi"/>
      </w:rPr>
    </w:lvl>
    <w:lvl w:ilvl="1" w:tentative="0">
      <w:start w:val="1"/>
      <w:numFmt w:val="bullet"/>
      <w:lvlText w:val="o"/>
      <w:lvlJc w:val="left"/>
      <w:pPr>
        <w:ind w:left="1931" w:hanging="360"/>
      </w:pPr>
      <w:rPr>
        <w:rFonts w:hint="default" w:ascii="Courier New" w:hAnsi="Courier New" w:cs="Courier New"/>
      </w:rPr>
    </w:lvl>
    <w:lvl w:ilvl="2" w:tentative="0">
      <w:start w:val="1"/>
      <w:numFmt w:val="bullet"/>
      <w:lvlText w:val=""/>
      <w:lvlJc w:val="left"/>
      <w:pPr>
        <w:ind w:left="2651" w:hanging="360"/>
      </w:pPr>
      <w:rPr>
        <w:rFonts w:hint="default" w:ascii="Wingdings" w:hAnsi="Wingdings"/>
      </w:rPr>
    </w:lvl>
    <w:lvl w:ilvl="3" w:tentative="0">
      <w:start w:val="1"/>
      <w:numFmt w:val="bullet"/>
      <w:lvlText w:val=""/>
      <w:lvlJc w:val="left"/>
      <w:pPr>
        <w:ind w:left="3371" w:hanging="360"/>
      </w:pPr>
      <w:rPr>
        <w:rFonts w:hint="default" w:ascii="Symbol" w:hAnsi="Symbol"/>
      </w:rPr>
    </w:lvl>
    <w:lvl w:ilvl="4" w:tentative="0">
      <w:start w:val="1"/>
      <w:numFmt w:val="bullet"/>
      <w:lvlText w:val="o"/>
      <w:lvlJc w:val="left"/>
      <w:pPr>
        <w:ind w:left="4091" w:hanging="360"/>
      </w:pPr>
      <w:rPr>
        <w:rFonts w:hint="default" w:ascii="Courier New" w:hAnsi="Courier New" w:cs="Courier New"/>
      </w:rPr>
    </w:lvl>
    <w:lvl w:ilvl="5" w:tentative="0">
      <w:start w:val="1"/>
      <w:numFmt w:val="bullet"/>
      <w:lvlText w:val=""/>
      <w:lvlJc w:val="left"/>
      <w:pPr>
        <w:ind w:left="4811" w:hanging="360"/>
      </w:pPr>
      <w:rPr>
        <w:rFonts w:hint="default" w:ascii="Wingdings" w:hAnsi="Wingdings"/>
      </w:rPr>
    </w:lvl>
    <w:lvl w:ilvl="6" w:tentative="0">
      <w:start w:val="1"/>
      <w:numFmt w:val="bullet"/>
      <w:lvlText w:val=""/>
      <w:lvlJc w:val="left"/>
      <w:pPr>
        <w:ind w:left="5531" w:hanging="360"/>
      </w:pPr>
      <w:rPr>
        <w:rFonts w:hint="default" w:ascii="Symbol" w:hAnsi="Symbol"/>
      </w:rPr>
    </w:lvl>
    <w:lvl w:ilvl="7" w:tentative="0">
      <w:start w:val="1"/>
      <w:numFmt w:val="bullet"/>
      <w:lvlText w:val="o"/>
      <w:lvlJc w:val="left"/>
      <w:pPr>
        <w:ind w:left="6251" w:hanging="360"/>
      </w:pPr>
      <w:rPr>
        <w:rFonts w:hint="default" w:ascii="Courier New" w:hAnsi="Courier New" w:cs="Courier New"/>
      </w:rPr>
    </w:lvl>
    <w:lvl w:ilvl="8" w:tentative="0">
      <w:start w:val="1"/>
      <w:numFmt w:val="bullet"/>
      <w:lvlText w:val=""/>
      <w:lvlJc w:val="left"/>
      <w:pPr>
        <w:ind w:left="6971" w:hanging="360"/>
      </w:pPr>
      <w:rPr>
        <w:rFonts w:hint="default" w:ascii="Wingdings" w:hAnsi="Wingdings"/>
      </w:rPr>
    </w:lvl>
  </w:abstractNum>
  <w:abstractNum w:abstractNumId="14">
    <w:nsid w:val="63E356E2"/>
    <w:multiLevelType w:val="multilevel"/>
    <w:tmpl w:val="63E356E2"/>
    <w:lvl w:ilvl="0" w:tentative="0">
      <w:start w:val="1"/>
      <w:numFmt w:val="bullet"/>
      <w:lvlText w:val=""/>
      <w:lvlJc w:val="left"/>
      <w:pPr>
        <w:ind w:left="578" w:hanging="360"/>
      </w:pPr>
      <w:rPr>
        <w:rFonts w:hint="default" w:ascii="Symbol" w:hAnsi="Symbol"/>
      </w:rPr>
    </w:lvl>
    <w:lvl w:ilvl="1" w:tentative="0">
      <w:start w:val="1"/>
      <w:numFmt w:val="bullet"/>
      <w:lvlText w:val="o"/>
      <w:lvlJc w:val="left"/>
      <w:pPr>
        <w:ind w:left="1298" w:hanging="360"/>
      </w:pPr>
      <w:rPr>
        <w:rFonts w:hint="default" w:ascii="Courier New" w:hAnsi="Courier New" w:cs="Courier New"/>
      </w:rPr>
    </w:lvl>
    <w:lvl w:ilvl="2" w:tentative="0">
      <w:start w:val="1"/>
      <w:numFmt w:val="bullet"/>
      <w:lvlText w:val=""/>
      <w:lvlJc w:val="left"/>
      <w:pPr>
        <w:ind w:left="2018" w:hanging="360"/>
      </w:pPr>
      <w:rPr>
        <w:rFonts w:hint="default" w:ascii="Wingdings" w:hAnsi="Wingdings"/>
      </w:rPr>
    </w:lvl>
    <w:lvl w:ilvl="3" w:tentative="0">
      <w:start w:val="1"/>
      <w:numFmt w:val="bullet"/>
      <w:lvlText w:val=""/>
      <w:lvlJc w:val="left"/>
      <w:pPr>
        <w:ind w:left="2738" w:hanging="360"/>
      </w:pPr>
      <w:rPr>
        <w:rFonts w:hint="default" w:ascii="Symbol" w:hAnsi="Symbol"/>
      </w:rPr>
    </w:lvl>
    <w:lvl w:ilvl="4" w:tentative="0">
      <w:start w:val="1"/>
      <w:numFmt w:val="bullet"/>
      <w:lvlText w:val="o"/>
      <w:lvlJc w:val="left"/>
      <w:pPr>
        <w:ind w:left="3458" w:hanging="360"/>
      </w:pPr>
      <w:rPr>
        <w:rFonts w:hint="default" w:ascii="Courier New" w:hAnsi="Courier New" w:cs="Courier New"/>
      </w:rPr>
    </w:lvl>
    <w:lvl w:ilvl="5" w:tentative="0">
      <w:start w:val="1"/>
      <w:numFmt w:val="bullet"/>
      <w:lvlText w:val=""/>
      <w:lvlJc w:val="left"/>
      <w:pPr>
        <w:ind w:left="4178" w:hanging="360"/>
      </w:pPr>
      <w:rPr>
        <w:rFonts w:hint="default" w:ascii="Wingdings" w:hAnsi="Wingdings"/>
      </w:rPr>
    </w:lvl>
    <w:lvl w:ilvl="6" w:tentative="0">
      <w:start w:val="1"/>
      <w:numFmt w:val="bullet"/>
      <w:lvlText w:val=""/>
      <w:lvlJc w:val="left"/>
      <w:pPr>
        <w:ind w:left="4898" w:hanging="360"/>
      </w:pPr>
      <w:rPr>
        <w:rFonts w:hint="default" w:ascii="Symbol" w:hAnsi="Symbol"/>
      </w:rPr>
    </w:lvl>
    <w:lvl w:ilvl="7" w:tentative="0">
      <w:start w:val="1"/>
      <w:numFmt w:val="bullet"/>
      <w:lvlText w:val="o"/>
      <w:lvlJc w:val="left"/>
      <w:pPr>
        <w:ind w:left="5618" w:hanging="360"/>
      </w:pPr>
      <w:rPr>
        <w:rFonts w:hint="default" w:ascii="Courier New" w:hAnsi="Courier New" w:cs="Courier New"/>
      </w:rPr>
    </w:lvl>
    <w:lvl w:ilvl="8" w:tentative="0">
      <w:start w:val="1"/>
      <w:numFmt w:val="bullet"/>
      <w:lvlText w:val=""/>
      <w:lvlJc w:val="left"/>
      <w:pPr>
        <w:ind w:left="6338" w:hanging="360"/>
      </w:pPr>
      <w:rPr>
        <w:rFonts w:hint="default" w:ascii="Wingdings" w:hAnsi="Wingdings"/>
      </w:rPr>
    </w:lvl>
  </w:abstractNum>
  <w:abstractNum w:abstractNumId="15">
    <w:nsid w:val="71387F18"/>
    <w:multiLevelType w:val="singleLevel"/>
    <w:tmpl w:val="71387F18"/>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9"/>
  </w:num>
  <w:num w:numId="3">
    <w:abstractNumId w:val="11"/>
  </w:num>
  <w:num w:numId="4">
    <w:abstractNumId w:val="13"/>
  </w:num>
  <w:num w:numId="5">
    <w:abstractNumId w:val="3"/>
  </w:num>
  <w:num w:numId="6">
    <w:abstractNumId w:val="14"/>
  </w:num>
  <w:num w:numId="7">
    <w:abstractNumId w:val="7"/>
  </w:num>
  <w:num w:numId="8">
    <w:abstractNumId w:val="12"/>
  </w:num>
  <w:num w:numId="9">
    <w:abstractNumId w:val="15"/>
  </w:num>
  <w:num w:numId="10">
    <w:abstractNumId w:val="10"/>
  </w:num>
  <w:num w:numId="11">
    <w:abstractNumId w:val="4"/>
  </w:num>
  <w:num w:numId="12">
    <w:abstractNumId w:val="8"/>
  </w:num>
  <w:num w:numId="13">
    <w:abstractNumId w:val="6"/>
  </w:num>
  <w:num w:numId="14">
    <w:abstractNumId w:val="0"/>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53E"/>
    <w:rsid w:val="00001503"/>
    <w:rsid w:val="000062DD"/>
    <w:rsid w:val="000066A2"/>
    <w:rsid w:val="00007FE7"/>
    <w:rsid w:val="0001348D"/>
    <w:rsid w:val="000156F1"/>
    <w:rsid w:val="00021C94"/>
    <w:rsid w:val="0002227C"/>
    <w:rsid w:val="00022398"/>
    <w:rsid w:val="00022EFC"/>
    <w:rsid w:val="00025632"/>
    <w:rsid w:val="00026AD0"/>
    <w:rsid w:val="00031157"/>
    <w:rsid w:val="0003146C"/>
    <w:rsid w:val="0003249F"/>
    <w:rsid w:val="00032875"/>
    <w:rsid w:val="000344C7"/>
    <w:rsid w:val="00037596"/>
    <w:rsid w:val="00037D36"/>
    <w:rsid w:val="00044D25"/>
    <w:rsid w:val="000463CF"/>
    <w:rsid w:val="000559FD"/>
    <w:rsid w:val="00056B86"/>
    <w:rsid w:val="00057A8E"/>
    <w:rsid w:val="00065DCA"/>
    <w:rsid w:val="00065FFF"/>
    <w:rsid w:val="000671DB"/>
    <w:rsid w:val="00067F4A"/>
    <w:rsid w:val="000719C0"/>
    <w:rsid w:val="000728F3"/>
    <w:rsid w:val="00074432"/>
    <w:rsid w:val="00074E13"/>
    <w:rsid w:val="00076012"/>
    <w:rsid w:val="00076C9F"/>
    <w:rsid w:val="00077EC7"/>
    <w:rsid w:val="00080115"/>
    <w:rsid w:val="00080200"/>
    <w:rsid w:val="000805ED"/>
    <w:rsid w:val="00080805"/>
    <w:rsid w:val="00080F84"/>
    <w:rsid w:val="0008221A"/>
    <w:rsid w:val="00082578"/>
    <w:rsid w:val="000835A4"/>
    <w:rsid w:val="00083C7F"/>
    <w:rsid w:val="00085529"/>
    <w:rsid w:val="0008589E"/>
    <w:rsid w:val="00085A5F"/>
    <w:rsid w:val="000867D4"/>
    <w:rsid w:val="00093D22"/>
    <w:rsid w:val="00093EC6"/>
    <w:rsid w:val="00096631"/>
    <w:rsid w:val="00096C31"/>
    <w:rsid w:val="00097274"/>
    <w:rsid w:val="000972D8"/>
    <w:rsid w:val="000A2B1B"/>
    <w:rsid w:val="000A2C61"/>
    <w:rsid w:val="000A2EE0"/>
    <w:rsid w:val="000A4476"/>
    <w:rsid w:val="000A46F8"/>
    <w:rsid w:val="000B13CB"/>
    <w:rsid w:val="000B3A2B"/>
    <w:rsid w:val="000B3F6E"/>
    <w:rsid w:val="000B5F17"/>
    <w:rsid w:val="000B7C73"/>
    <w:rsid w:val="000C06EB"/>
    <w:rsid w:val="000C08ED"/>
    <w:rsid w:val="000C3235"/>
    <w:rsid w:val="000C4F68"/>
    <w:rsid w:val="000D1BB7"/>
    <w:rsid w:val="000D2158"/>
    <w:rsid w:val="000D2A7A"/>
    <w:rsid w:val="000D3004"/>
    <w:rsid w:val="000D59DE"/>
    <w:rsid w:val="000D7C5A"/>
    <w:rsid w:val="000E2526"/>
    <w:rsid w:val="000E40CB"/>
    <w:rsid w:val="000E432C"/>
    <w:rsid w:val="000E5AB5"/>
    <w:rsid w:val="000E6439"/>
    <w:rsid w:val="000E6684"/>
    <w:rsid w:val="000E6CEB"/>
    <w:rsid w:val="000E7560"/>
    <w:rsid w:val="000F146A"/>
    <w:rsid w:val="000F1964"/>
    <w:rsid w:val="000F30A2"/>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7FE4"/>
    <w:rsid w:val="00120739"/>
    <w:rsid w:val="00121E41"/>
    <w:rsid w:val="00122EB1"/>
    <w:rsid w:val="0012316D"/>
    <w:rsid w:val="00124179"/>
    <w:rsid w:val="001243C0"/>
    <w:rsid w:val="00125090"/>
    <w:rsid w:val="0012557B"/>
    <w:rsid w:val="00131F73"/>
    <w:rsid w:val="00133215"/>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62005"/>
    <w:rsid w:val="00162236"/>
    <w:rsid w:val="00163D31"/>
    <w:rsid w:val="00166324"/>
    <w:rsid w:val="001670BF"/>
    <w:rsid w:val="0016714F"/>
    <w:rsid w:val="00167A58"/>
    <w:rsid w:val="00167DE9"/>
    <w:rsid w:val="00170019"/>
    <w:rsid w:val="0017072E"/>
    <w:rsid w:val="00170C97"/>
    <w:rsid w:val="00170F92"/>
    <w:rsid w:val="00171361"/>
    <w:rsid w:val="00172DCA"/>
    <w:rsid w:val="00173E5C"/>
    <w:rsid w:val="00174AFA"/>
    <w:rsid w:val="0017505B"/>
    <w:rsid w:val="00176C00"/>
    <w:rsid w:val="00185B36"/>
    <w:rsid w:val="00190308"/>
    <w:rsid w:val="001924E2"/>
    <w:rsid w:val="001974AC"/>
    <w:rsid w:val="001A2520"/>
    <w:rsid w:val="001A5944"/>
    <w:rsid w:val="001A5EB8"/>
    <w:rsid w:val="001A611B"/>
    <w:rsid w:val="001A6353"/>
    <w:rsid w:val="001B35EF"/>
    <w:rsid w:val="001B4AB1"/>
    <w:rsid w:val="001B62B1"/>
    <w:rsid w:val="001B721E"/>
    <w:rsid w:val="001C42BC"/>
    <w:rsid w:val="001C4A9B"/>
    <w:rsid w:val="001C5C9B"/>
    <w:rsid w:val="001C7E33"/>
    <w:rsid w:val="001D0EE4"/>
    <w:rsid w:val="001D0FF3"/>
    <w:rsid w:val="001D4740"/>
    <w:rsid w:val="001D485A"/>
    <w:rsid w:val="001D57FB"/>
    <w:rsid w:val="001D639F"/>
    <w:rsid w:val="001D66BE"/>
    <w:rsid w:val="001E098E"/>
    <w:rsid w:val="001E1701"/>
    <w:rsid w:val="001E3214"/>
    <w:rsid w:val="001E441A"/>
    <w:rsid w:val="001E511C"/>
    <w:rsid w:val="001E7052"/>
    <w:rsid w:val="001F1A67"/>
    <w:rsid w:val="001F2317"/>
    <w:rsid w:val="001F2976"/>
    <w:rsid w:val="001F47F7"/>
    <w:rsid w:val="001F497B"/>
    <w:rsid w:val="001F525B"/>
    <w:rsid w:val="00205997"/>
    <w:rsid w:val="00205F3E"/>
    <w:rsid w:val="002071E6"/>
    <w:rsid w:val="0020736D"/>
    <w:rsid w:val="0020759D"/>
    <w:rsid w:val="002104C3"/>
    <w:rsid w:val="002104D3"/>
    <w:rsid w:val="00212054"/>
    <w:rsid w:val="0021212F"/>
    <w:rsid w:val="002224A0"/>
    <w:rsid w:val="00224D31"/>
    <w:rsid w:val="00224EC5"/>
    <w:rsid w:val="0022548F"/>
    <w:rsid w:val="002259D3"/>
    <w:rsid w:val="0023026D"/>
    <w:rsid w:val="00230EDD"/>
    <w:rsid w:val="00231EAB"/>
    <w:rsid w:val="00236C13"/>
    <w:rsid w:val="002425C6"/>
    <w:rsid w:val="00252231"/>
    <w:rsid w:val="00252CA9"/>
    <w:rsid w:val="002549FF"/>
    <w:rsid w:val="00257235"/>
    <w:rsid w:val="00257D3B"/>
    <w:rsid w:val="002632D9"/>
    <w:rsid w:val="00263FA4"/>
    <w:rsid w:val="00265557"/>
    <w:rsid w:val="00265A68"/>
    <w:rsid w:val="00267D07"/>
    <w:rsid w:val="002704C4"/>
    <w:rsid w:val="00272B8B"/>
    <w:rsid w:val="00273060"/>
    <w:rsid w:val="0027348E"/>
    <w:rsid w:val="00275E19"/>
    <w:rsid w:val="002765CE"/>
    <w:rsid w:val="00277A4B"/>
    <w:rsid w:val="0028125C"/>
    <w:rsid w:val="00281A0B"/>
    <w:rsid w:val="00283E9A"/>
    <w:rsid w:val="002843F3"/>
    <w:rsid w:val="00284608"/>
    <w:rsid w:val="00285F60"/>
    <w:rsid w:val="002878C0"/>
    <w:rsid w:val="00294ED4"/>
    <w:rsid w:val="002A1B66"/>
    <w:rsid w:val="002A1E7F"/>
    <w:rsid w:val="002A567F"/>
    <w:rsid w:val="002B02AA"/>
    <w:rsid w:val="002B203B"/>
    <w:rsid w:val="002B4622"/>
    <w:rsid w:val="002C25E6"/>
    <w:rsid w:val="002C3358"/>
    <w:rsid w:val="002C3984"/>
    <w:rsid w:val="002C3FB4"/>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D71"/>
    <w:rsid w:val="002F29DC"/>
    <w:rsid w:val="002F4124"/>
    <w:rsid w:val="002F4294"/>
    <w:rsid w:val="002F47B7"/>
    <w:rsid w:val="002F56F6"/>
    <w:rsid w:val="002F5AB1"/>
    <w:rsid w:val="002F6044"/>
    <w:rsid w:val="002F773A"/>
    <w:rsid w:val="003023E5"/>
    <w:rsid w:val="003026D5"/>
    <w:rsid w:val="00303ABD"/>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4F2E"/>
    <w:rsid w:val="00337249"/>
    <w:rsid w:val="003378F1"/>
    <w:rsid w:val="00342A29"/>
    <w:rsid w:val="0034506D"/>
    <w:rsid w:val="00346393"/>
    <w:rsid w:val="00352C52"/>
    <w:rsid w:val="003543CB"/>
    <w:rsid w:val="00354583"/>
    <w:rsid w:val="003621CB"/>
    <w:rsid w:val="003718A8"/>
    <w:rsid w:val="00372624"/>
    <w:rsid w:val="00372657"/>
    <w:rsid w:val="00373AA3"/>
    <w:rsid w:val="00375E16"/>
    <w:rsid w:val="00377557"/>
    <w:rsid w:val="00377F1E"/>
    <w:rsid w:val="0038102C"/>
    <w:rsid w:val="00384093"/>
    <w:rsid w:val="00385BCA"/>
    <w:rsid w:val="0038609F"/>
    <w:rsid w:val="00387F0F"/>
    <w:rsid w:val="003910B3"/>
    <w:rsid w:val="00391A60"/>
    <w:rsid w:val="00391BFC"/>
    <w:rsid w:val="00392EA3"/>
    <w:rsid w:val="003938A4"/>
    <w:rsid w:val="00395051"/>
    <w:rsid w:val="003A128C"/>
    <w:rsid w:val="003A212D"/>
    <w:rsid w:val="003A22EE"/>
    <w:rsid w:val="003A2F6A"/>
    <w:rsid w:val="003A7AD5"/>
    <w:rsid w:val="003A7B54"/>
    <w:rsid w:val="003B1742"/>
    <w:rsid w:val="003B3BCF"/>
    <w:rsid w:val="003B713C"/>
    <w:rsid w:val="003B76CC"/>
    <w:rsid w:val="003B7B2A"/>
    <w:rsid w:val="003C10EC"/>
    <w:rsid w:val="003C7911"/>
    <w:rsid w:val="003D037D"/>
    <w:rsid w:val="003D1D60"/>
    <w:rsid w:val="003D2027"/>
    <w:rsid w:val="003D3081"/>
    <w:rsid w:val="003D4504"/>
    <w:rsid w:val="003D5648"/>
    <w:rsid w:val="003D64B6"/>
    <w:rsid w:val="003D666E"/>
    <w:rsid w:val="003D6783"/>
    <w:rsid w:val="003D790D"/>
    <w:rsid w:val="003E0518"/>
    <w:rsid w:val="003E1C75"/>
    <w:rsid w:val="003E2173"/>
    <w:rsid w:val="003E3004"/>
    <w:rsid w:val="003E4906"/>
    <w:rsid w:val="003E5ADC"/>
    <w:rsid w:val="003E76CA"/>
    <w:rsid w:val="003E7BD7"/>
    <w:rsid w:val="003F2275"/>
    <w:rsid w:val="003F234D"/>
    <w:rsid w:val="003F34FF"/>
    <w:rsid w:val="003F3B34"/>
    <w:rsid w:val="003F3F0B"/>
    <w:rsid w:val="004012BA"/>
    <w:rsid w:val="00402ECB"/>
    <w:rsid w:val="0040394D"/>
    <w:rsid w:val="004061C3"/>
    <w:rsid w:val="00407FD6"/>
    <w:rsid w:val="004109F7"/>
    <w:rsid w:val="00411168"/>
    <w:rsid w:val="004146A5"/>
    <w:rsid w:val="004148A6"/>
    <w:rsid w:val="00415825"/>
    <w:rsid w:val="004165E8"/>
    <w:rsid w:val="004211AE"/>
    <w:rsid w:val="00422484"/>
    <w:rsid w:val="0042284B"/>
    <w:rsid w:val="0042380F"/>
    <w:rsid w:val="00424765"/>
    <w:rsid w:val="00424CF5"/>
    <w:rsid w:val="0042525A"/>
    <w:rsid w:val="00425C0F"/>
    <w:rsid w:val="00426009"/>
    <w:rsid w:val="004305DB"/>
    <w:rsid w:val="0043168E"/>
    <w:rsid w:val="00432D36"/>
    <w:rsid w:val="00433882"/>
    <w:rsid w:val="00433D70"/>
    <w:rsid w:val="00434EE1"/>
    <w:rsid w:val="00436F70"/>
    <w:rsid w:val="00437779"/>
    <w:rsid w:val="004405E2"/>
    <w:rsid w:val="004410C7"/>
    <w:rsid w:val="00442F4A"/>
    <w:rsid w:val="00443CDB"/>
    <w:rsid w:val="004445BC"/>
    <w:rsid w:val="00445D16"/>
    <w:rsid w:val="0044799D"/>
    <w:rsid w:val="00453A02"/>
    <w:rsid w:val="004550CC"/>
    <w:rsid w:val="00455FAE"/>
    <w:rsid w:val="00457450"/>
    <w:rsid w:val="00460F0E"/>
    <w:rsid w:val="00460FCF"/>
    <w:rsid w:val="00462996"/>
    <w:rsid w:val="00462E95"/>
    <w:rsid w:val="00463948"/>
    <w:rsid w:val="00466454"/>
    <w:rsid w:val="0047520F"/>
    <w:rsid w:val="00481DE0"/>
    <w:rsid w:val="0048207D"/>
    <w:rsid w:val="00482C33"/>
    <w:rsid w:val="0048379B"/>
    <w:rsid w:val="00484662"/>
    <w:rsid w:val="00490C12"/>
    <w:rsid w:val="004919FB"/>
    <w:rsid w:val="00492576"/>
    <w:rsid w:val="00495DA4"/>
    <w:rsid w:val="004962EC"/>
    <w:rsid w:val="00496714"/>
    <w:rsid w:val="0049675A"/>
    <w:rsid w:val="004A03A8"/>
    <w:rsid w:val="004A03D0"/>
    <w:rsid w:val="004A1874"/>
    <w:rsid w:val="004A30BD"/>
    <w:rsid w:val="004A5113"/>
    <w:rsid w:val="004A6A47"/>
    <w:rsid w:val="004A73E2"/>
    <w:rsid w:val="004A7940"/>
    <w:rsid w:val="004B182B"/>
    <w:rsid w:val="004B399B"/>
    <w:rsid w:val="004B50CC"/>
    <w:rsid w:val="004B79B7"/>
    <w:rsid w:val="004C01DB"/>
    <w:rsid w:val="004C2991"/>
    <w:rsid w:val="004C30F6"/>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4C8F"/>
    <w:rsid w:val="004E528B"/>
    <w:rsid w:val="004E5FD0"/>
    <w:rsid w:val="004E6F1E"/>
    <w:rsid w:val="004F285A"/>
    <w:rsid w:val="004F33F7"/>
    <w:rsid w:val="004F476A"/>
    <w:rsid w:val="004F7682"/>
    <w:rsid w:val="005012F1"/>
    <w:rsid w:val="00503253"/>
    <w:rsid w:val="005078B2"/>
    <w:rsid w:val="00513920"/>
    <w:rsid w:val="005141D2"/>
    <w:rsid w:val="005141D6"/>
    <w:rsid w:val="005147C6"/>
    <w:rsid w:val="00515225"/>
    <w:rsid w:val="00515560"/>
    <w:rsid w:val="00515722"/>
    <w:rsid w:val="00516346"/>
    <w:rsid w:val="0051653E"/>
    <w:rsid w:val="00516949"/>
    <w:rsid w:val="00521BF2"/>
    <w:rsid w:val="00523CC8"/>
    <w:rsid w:val="005257EB"/>
    <w:rsid w:val="0052666F"/>
    <w:rsid w:val="005324A9"/>
    <w:rsid w:val="00533377"/>
    <w:rsid w:val="00534A15"/>
    <w:rsid w:val="00535E4C"/>
    <w:rsid w:val="00536100"/>
    <w:rsid w:val="00536140"/>
    <w:rsid w:val="00537C12"/>
    <w:rsid w:val="00540078"/>
    <w:rsid w:val="00540A1F"/>
    <w:rsid w:val="0054276F"/>
    <w:rsid w:val="00544F81"/>
    <w:rsid w:val="00546E3B"/>
    <w:rsid w:val="00550622"/>
    <w:rsid w:val="005510BA"/>
    <w:rsid w:val="00551A37"/>
    <w:rsid w:val="00555678"/>
    <w:rsid w:val="00555E33"/>
    <w:rsid w:val="005560D4"/>
    <w:rsid w:val="005569B3"/>
    <w:rsid w:val="00563107"/>
    <w:rsid w:val="0056797F"/>
    <w:rsid w:val="00570D93"/>
    <w:rsid w:val="005713D0"/>
    <w:rsid w:val="00571406"/>
    <w:rsid w:val="0057435D"/>
    <w:rsid w:val="00575283"/>
    <w:rsid w:val="00576AEE"/>
    <w:rsid w:val="00577243"/>
    <w:rsid w:val="005776FD"/>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40A"/>
    <w:rsid w:val="005A0AA8"/>
    <w:rsid w:val="005A2E77"/>
    <w:rsid w:val="005A3313"/>
    <w:rsid w:val="005A3E5A"/>
    <w:rsid w:val="005A4A4D"/>
    <w:rsid w:val="005A4EDB"/>
    <w:rsid w:val="005A5F01"/>
    <w:rsid w:val="005A651B"/>
    <w:rsid w:val="005A6E8C"/>
    <w:rsid w:val="005B0B47"/>
    <w:rsid w:val="005B11B3"/>
    <w:rsid w:val="005B13CF"/>
    <w:rsid w:val="005B44B9"/>
    <w:rsid w:val="005C3362"/>
    <w:rsid w:val="005C5EFA"/>
    <w:rsid w:val="005C6A22"/>
    <w:rsid w:val="005C6ECC"/>
    <w:rsid w:val="005C77A5"/>
    <w:rsid w:val="005C7D0A"/>
    <w:rsid w:val="005D1004"/>
    <w:rsid w:val="005D22CB"/>
    <w:rsid w:val="005D5444"/>
    <w:rsid w:val="005D6649"/>
    <w:rsid w:val="005D7E70"/>
    <w:rsid w:val="005E0159"/>
    <w:rsid w:val="005E0CA3"/>
    <w:rsid w:val="005E12FB"/>
    <w:rsid w:val="005E14BB"/>
    <w:rsid w:val="005E454C"/>
    <w:rsid w:val="005E48BC"/>
    <w:rsid w:val="005F0B06"/>
    <w:rsid w:val="005F3020"/>
    <w:rsid w:val="005F34FD"/>
    <w:rsid w:val="005F56A7"/>
    <w:rsid w:val="005F6BE2"/>
    <w:rsid w:val="005F7DF2"/>
    <w:rsid w:val="00600799"/>
    <w:rsid w:val="006008E9"/>
    <w:rsid w:val="006026C4"/>
    <w:rsid w:val="006028DE"/>
    <w:rsid w:val="00605B9D"/>
    <w:rsid w:val="00605CEE"/>
    <w:rsid w:val="00610EDE"/>
    <w:rsid w:val="00611984"/>
    <w:rsid w:val="00613CA5"/>
    <w:rsid w:val="006151E8"/>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40549"/>
    <w:rsid w:val="00641058"/>
    <w:rsid w:val="00643765"/>
    <w:rsid w:val="00643D95"/>
    <w:rsid w:val="00644C3A"/>
    <w:rsid w:val="00647987"/>
    <w:rsid w:val="00647AD7"/>
    <w:rsid w:val="00650080"/>
    <w:rsid w:val="00653ECF"/>
    <w:rsid w:val="00654CAD"/>
    <w:rsid w:val="00655286"/>
    <w:rsid w:val="00655FBB"/>
    <w:rsid w:val="00657632"/>
    <w:rsid w:val="00662E2E"/>
    <w:rsid w:val="00663F7C"/>
    <w:rsid w:val="00664A63"/>
    <w:rsid w:val="006661D1"/>
    <w:rsid w:val="00666767"/>
    <w:rsid w:val="006702C6"/>
    <w:rsid w:val="00672A15"/>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CA8"/>
    <w:rsid w:val="00692B42"/>
    <w:rsid w:val="00695B6B"/>
    <w:rsid w:val="006A35D1"/>
    <w:rsid w:val="006A55D2"/>
    <w:rsid w:val="006A702F"/>
    <w:rsid w:val="006A7275"/>
    <w:rsid w:val="006B55CA"/>
    <w:rsid w:val="006B590C"/>
    <w:rsid w:val="006C1400"/>
    <w:rsid w:val="006C23A0"/>
    <w:rsid w:val="006C410B"/>
    <w:rsid w:val="006D05E4"/>
    <w:rsid w:val="006D3BAC"/>
    <w:rsid w:val="006D460F"/>
    <w:rsid w:val="006D4E52"/>
    <w:rsid w:val="006D5954"/>
    <w:rsid w:val="006D676A"/>
    <w:rsid w:val="006E24C1"/>
    <w:rsid w:val="006E4329"/>
    <w:rsid w:val="006E5276"/>
    <w:rsid w:val="006E6584"/>
    <w:rsid w:val="006E68E8"/>
    <w:rsid w:val="006E7317"/>
    <w:rsid w:val="006E76BB"/>
    <w:rsid w:val="006E7A98"/>
    <w:rsid w:val="006F2A24"/>
    <w:rsid w:val="006F2FC0"/>
    <w:rsid w:val="006F385B"/>
    <w:rsid w:val="006F3F7E"/>
    <w:rsid w:val="006F68E0"/>
    <w:rsid w:val="006F7254"/>
    <w:rsid w:val="00700D21"/>
    <w:rsid w:val="007029AC"/>
    <w:rsid w:val="007034DF"/>
    <w:rsid w:val="007050EC"/>
    <w:rsid w:val="007056AB"/>
    <w:rsid w:val="00710006"/>
    <w:rsid w:val="00714239"/>
    <w:rsid w:val="00714493"/>
    <w:rsid w:val="00714B51"/>
    <w:rsid w:val="0071511F"/>
    <w:rsid w:val="00716E21"/>
    <w:rsid w:val="00717450"/>
    <w:rsid w:val="007179D2"/>
    <w:rsid w:val="00721043"/>
    <w:rsid w:val="00721F29"/>
    <w:rsid w:val="00722FDC"/>
    <w:rsid w:val="007241CC"/>
    <w:rsid w:val="00724ACF"/>
    <w:rsid w:val="00730AE8"/>
    <w:rsid w:val="007315FB"/>
    <w:rsid w:val="00732748"/>
    <w:rsid w:val="0073322E"/>
    <w:rsid w:val="00734C65"/>
    <w:rsid w:val="007359E0"/>
    <w:rsid w:val="00737E16"/>
    <w:rsid w:val="00743436"/>
    <w:rsid w:val="007439EE"/>
    <w:rsid w:val="00745702"/>
    <w:rsid w:val="00746081"/>
    <w:rsid w:val="00746CC2"/>
    <w:rsid w:val="00750BD8"/>
    <w:rsid w:val="0075232C"/>
    <w:rsid w:val="007529FE"/>
    <w:rsid w:val="00757748"/>
    <w:rsid w:val="007619A2"/>
    <w:rsid w:val="00762B87"/>
    <w:rsid w:val="007637FC"/>
    <w:rsid w:val="0076644B"/>
    <w:rsid w:val="00766721"/>
    <w:rsid w:val="007702C6"/>
    <w:rsid w:val="007711D4"/>
    <w:rsid w:val="007724C9"/>
    <w:rsid w:val="00772643"/>
    <w:rsid w:val="00773455"/>
    <w:rsid w:val="007738AA"/>
    <w:rsid w:val="00774A74"/>
    <w:rsid w:val="00774CE8"/>
    <w:rsid w:val="00777A3D"/>
    <w:rsid w:val="00780CB3"/>
    <w:rsid w:val="0078132A"/>
    <w:rsid w:val="0078185A"/>
    <w:rsid w:val="00782254"/>
    <w:rsid w:val="00782420"/>
    <w:rsid w:val="00786838"/>
    <w:rsid w:val="00790EB0"/>
    <w:rsid w:val="00793AB4"/>
    <w:rsid w:val="00794258"/>
    <w:rsid w:val="00795656"/>
    <w:rsid w:val="00796734"/>
    <w:rsid w:val="007A0538"/>
    <w:rsid w:val="007A1CC1"/>
    <w:rsid w:val="007A1D0A"/>
    <w:rsid w:val="007A2BBB"/>
    <w:rsid w:val="007A4B92"/>
    <w:rsid w:val="007A5CF9"/>
    <w:rsid w:val="007A7E36"/>
    <w:rsid w:val="007B057D"/>
    <w:rsid w:val="007B0E88"/>
    <w:rsid w:val="007B147F"/>
    <w:rsid w:val="007B16FA"/>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43E1"/>
    <w:rsid w:val="007F50EC"/>
    <w:rsid w:val="007F5137"/>
    <w:rsid w:val="007F5A27"/>
    <w:rsid w:val="007F751F"/>
    <w:rsid w:val="00800645"/>
    <w:rsid w:val="0080144D"/>
    <w:rsid w:val="00801BB8"/>
    <w:rsid w:val="00802515"/>
    <w:rsid w:val="008054AC"/>
    <w:rsid w:val="008060E8"/>
    <w:rsid w:val="00806422"/>
    <w:rsid w:val="00806C70"/>
    <w:rsid w:val="00807217"/>
    <w:rsid w:val="0081019F"/>
    <w:rsid w:val="00811C85"/>
    <w:rsid w:val="00812E51"/>
    <w:rsid w:val="0081374A"/>
    <w:rsid w:val="008171FA"/>
    <w:rsid w:val="00820C9D"/>
    <w:rsid w:val="00820D6C"/>
    <w:rsid w:val="00822511"/>
    <w:rsid w:val="008270E1"/>
    <w:rsid w:val="0083002C"/>
    <w:rsid w:val="00830A75"/>
    <w:rsid w:val="00831282"/>
    <w:rsid w:val="00831862"/>
    <w:rsid w:val="00832195"/>
    <w:rsid w:val="0083349A"/>
    <w:rsid w:val="00840792"/>
    <w:rsid w:val="0084189E"/>
    <w:rsid w:val="00844ED1"/>
    <w:rsid w:val="00845B0D"/>
    <w:rsid w:val="008463C3"/>
    <w:rsid w:val="00846940"/>
    <w:rsid w:val="00846A9D"/>
    <w:rsid w:val="008506F7"/>
    <w:rsid w:val="0085093B"/>
    <w:rsid w:val="0085287C"/>
    <w:rsid w:val="00852E6C"/>
    <w:rsid w:val="008532FC"/>
    <w:rsid w:val="00856FC3"/>
    <w:rsid w:val="00860BAF"/>
    <w:rsid w:val="00863510"/>
    <w:rsid w:val="00864456"/>
    <w:rsid w:val="00864A86"/>
    <w:rsid w:val="00866CC0"/>
    <w:rsid w:val="008676BC"/>
    <w:rsid w:val="00870059"/>
    <w:rsid w:val="00872E64"/>
    <w:rsid w:val="00874208"/>
    <w:rsid w:val="00874F26"/>
    <w:rsid w:val="00876343"/>
    <w:rsid w:val="00876BE1"/>
    <w:rsid w:val="008823D9"/>
    <w:rsid w:val="0088244E"/>
    <w:rsid w:val="0088410A"/>
    <w:rsid w:val="0088422B"/>
    <w:rsid w:val="0088751D"/>
    <w:rsid w:val="00891C90"/>
    <w:rsid w:val="00892614"/>
    <w:rsid w:val="00892DA1"/>
    <w:rsid w:val="00893246"/>
    <w:rsid w:val="008936E3"/>
    <w:rsid w:val="008944CE"/>
    <w:rsid w:val="00894A90"/>
    <w:rsid w:val="008A02C0"/>
    <w:rsid w:val="008A1E26"/>
    <w:rsid w:val="008A29E1"/>
    <w:rsid w:val="008A6173"/>
    <w:rsid w:val="008A6A15"/>
    <w:rsid w:val="008B1F82"/>
    <w:rsid w:val="008B25E5"/>
    <w:rsid w:val="008B3A2E"/>
    <w:rsid w:val="008B4E39"/>
    <w:rsid w:val="008B6EEC"/>
    <w:rsid w:val="008C26FD"/>
    <w:rsid w:val="008C2DC6"/>
    <w:rsid w:val="008C3C54"/>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9009B4"/>
    <w:rsid w:val="009016E5"/>
    <w:rsid w:val="0090227C"/>
    <w:rsid w:val="009028C4"/>
    <w:rsid w:val="00902DEC"/>
    <w:rsid w:val="00904669"/>
    <w:rsid w:val="00904F20"/>
    <w:rsid w:val="00905641"/>
    <w:rsid w:val="00905888"/>
    <w:rsid w:val="00907D99"/>
    <w:rsid w:val="009103A3"/>
    <w:rsid w:val="00910D22"/>
    <w:rsid w:val="00910DAE"/>
    <w:rsid w:val="009116B9"/>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223F"/>
    <w:rsid w:val="00932C96"/>
    <w:rsid w:val="0093497F"/>
    <w:rsid w:val="00935999"/>
    <w:rsid w:val="009361C4"/>
    <w:rsid w:val="00936694"/>
    <w:rsid w:val="00936ABC"/>
    <w:rsid w:val="009422E4"/>
    <w:rsid w:val="0094358F"/>
    <w:rsid w:val="00943A4B"/>
    <w:rsid w:val="00943E6F"/>
    <w:rsid w:val="009462F0"/>
    <w:rsid w:val="009470BE"/>
    <w:rsid w:val="0094794B"/>
    <w:rsid w:val="00950E29"/>
    <w:rsid w:val="0095341D"/>
    <w:rsid w:val="00953ADB"/>
    <w:rsid w:val="0095585D"/>
    <w:rsid w:val="009558F6"/>
    <w:rsid w:val="009566E6"/>
    <w:rsid w:val="009568E5"/>
    <w:rsid w:val="00957607"/>
    <w:rsid w:val="009578B3"/>
    <w:rsid w:val="00962145"/>
    <w:rsid w:val="00962203"/>
    <w:rsid w:val="00962411"/>
    <w:rsid w:val="00964422"/>
    <w:rsid w:val="00964F10"/>
    <w:rsid w:val="009679E1"/>
    <w:rsid w:val="00972BA0"/>
    <w:rsid w:val="00973002"/>
    <w:rsid w:val="00973461"/>
    <w:rsid w:val="00975351"/>
    <w:rsid w:val="00976052"/>
    <w:rsid w:val="00982012"/>
    <w:rsid w:val="00982C2D"/>
    <w:rsid w:val="00983878"/>
    <w:rsid w:val="00984139"/>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37D1"/>
    <w:rsid w:val="009B4897"/>
    <w:rsid w:val="009B5878"/>
    <w:rsid w:val="009C189E"/>
    <w:rsid w:val="009C1918"/>
    <w:rsid w:val="009C2AE4"/>
    <w:rsid w:val="009C4E5D"/>
    <w:rsid w:val="009C7B6D"/>
    <w:rsid w:val="009D0BE6"/>
    <w:rsid w:val="009D4C06"/>
    <w:rsid w:val="009D53D5"/>
    <w:rsid w:val="009D6719"/>
    <w:rsid w:val="009D7125"/>
    <w:rsid w:val="009D7933"/>
    <w:rsid w:val="009E3F05"/>
    <w:rsid w:val="009E5F69"/>
    <w:rsid w:val="009E63CC"/>
    <w:rsid w:val="009E6528"/>
    <w:rsid w:val="009F2059"/>
    <w:rsid w:val="009F4789"/>
    <w:rsid w:val="009F52B0"/>
    <w:rsid w:val="009F5471"/>
    <w:rsid w:val="009F6218"/>
    <w:rsid w:val="009F7B66"/>
    <w:rsid w:val="009F7DE9"/>
    <w:rsid w:val="00A01A0F"/>
    <w:rsid w:val="00A055EE"/>
    <w:rsid w:val="00A068E0"/>
    <w:rsid w:val="00A129EB"/>
    <w:rsid w:val="00A1418A"/>
    <w:rsid w:val="00A1497E"/>
    <w:rsid w:val="00A14A33"/>
    <w:rsid w:val="00A21760"/>
    <w:rsid w:val="00A23B03"/>
    <w:rsid w:val="00A25AAC"/>
    <w:rsid w:val="00A26BCF"/>
    <w:rsid w:val="00A27098"/>
    <w:rsid w:val="00A35735"/>
    <w:rsid w:val="00A41C25"/>
    <w:rsid w:val="00A42DB5"/>
    <w:rsid w:val="00A44C92"/>
    <w:rsid w:val="00A5043B"/>
    <w:rsid w:val="00A51C90"/>
    <w:rsid w:val="00A53887"/>
    <w:rsid w:val="00A53A38"/>
    <w:rsid w:val="00A545B2"/>
    <w:rsid w:val="00A54EE3"/>
    <w:rsid w:val="00A55D58"/>
    <w:rsid w:val="00A565DC"/>
    <w:rsid w:val="00A57013"/>
    <w:rsid w:val="00A57342"/>
    <w:rsid w:val="00A6267C"/>
    <w:rsid w:val="00A63B08"/>
    <w:rsid w:val="00A6564A"/>
    <w:rsid w:val="00A66700"/>
    <w:rsid w:val="00A67333"/>
    <w:rsid w:val="00A71B16"/>
    <w:rsid w:val="00A71D70"/>
    <w:rsid w:val="00A71D85"/>
    <w:rsid w:val="00A72231"/>
    <w:rsid w:val="00A726F3"/>
    <w:rsid w:val="00A73B76"/>
    <w:rsid w:val="00A7411D"/>
    <w:rsid w:val="00A75225"/>
    <w:rsid w:val="00A76EF2"/>
    <w:rsid w:val="00A76F1A"/>
    <w:rsid w:val="00A77CDB"/>
    <w:rsid w:val="00A80FFA"/>
    <w:rsid w:val="00A82584"/>
    <w:rsid w:val="00A831FC"/>
    <w:rsid w:val="00A83700"/>
    <w:rsid w:val="00A842AA"/>
    <w:rsid w:val="00A85118"/>
    <w:rsid w:val="00A8560F"/>
    <w:rsid w:val="00A8575B"/>
    <w:rsid w:val="00A85F56"/>
    <w:rsid w:val="00A91147"/>
    <w:rsid w:val="00A93385"/>
    <w:rsid w:val="00A9354A"/>
    <w:rsid w:val="00A935B1"/>
    <w:rsid w:val="00A939E6"/>
    <w:rsid w:val="00A941F1"/>
    <w:rsid w:val="00A9428F"/>
    <w:rsid w:val="00AA07F7"/>
    <w:rsid w:val="00AA2CFD"/>
    <w:rsid w:val="00AA2EE4"/>
    <w:rsid w:val="00AA3672"/>
    <w:rsid w:val="00AA505D"/>
    <w:rsid w:val="00AA7925"/>
    <w:rsid w:val="00AB02EA"/>
    <w:rsid w:val="00AB0D6A"/>
    <w:rsid w:val="00AB0E93"/>
    <w:rsid w:val="00AB1A41"/>
    <w:rsid w:val="00AB252F"/>
    <w:rsid w:val="00AB331C"/>
    <w:rsid w:val="00AB44B4"/>
    <w:rsid w:val="00AB4769"/>
    <w:rsid w:val="00AB4EA0"/>
    <w:rsid w:val="00AB77E8"/>
    <w:rsid w:val="00AC293F"/>
    <w:rsid w:val="00AC29A4"/>
    <w:rsid w:val="00AC3172"/>
    <w:rsid w:val="00AC321F"/>
    <w:rsid w:val="00AC4211"/>
    <w:rsid w:val="00AC42E6"/>
    <w:rsid w:val="00AC43DD"/>
    <w:rsid w:val="00AC5E5D"/>
    <w:rsid w:val="00AC64EA"/>
    <w:rsid w:val="00AC6E6A"/>
    <w:rsid w:val="00AC78D3"/>
    <w:rsid w:val="00AC7E35"/>
    <w:rsid w:val="00AD0C95"/>
    <w:rsid w:val="00AD2546"/>
    <w:rsid w:val="00AD2916"/>
    <w:rsid w:val="00AD466E"/>
    <w:rsid w:val="00AE1CF0"/>
    <w:rsid w:val="00AE3BDD"/>
    <w:rsid w:val="00AE3E29"/>
    <w:rsid w:val="00AE524E"/>
    <w:rsid w:val="00AE7918"/>
    <w:rsid w:val="00AF16BB"/>
    <w:rsid w:val="00AF6660"/>
    <w:rsid w:val="00AF7F82"/>
    <w:rsid w:val="00B01609"/>
    <w:rsid w:val="00B02454"/>
    <w:rsid w:val="00B032D1"/>
    <w:rsid w:val="00B0404A"/>
    <w:rsid w:val="00B0567A"/>
    <w:rsid w:val="00B064E0"/>
    <w:rsid w:val="00B075D1"/>
    <w:rsid w:val="00B137CF"/>
    <w:rsid w:val="00B15B19"/>
    <w:rsid w:val="00B17AAB"/>
    <w:rsid w:val="00B17D4A"/>
    <w:rsid w:val="00B20F8B"/>
    <w:rsid w:val="00B21408"/>
    <w:rsid w:val="00B2309E"/>
    <w:rsid w:val="00B23DEB"/>
    <w:rsid w:val="00B249C5"/>
    <w:rsid w:val="00B2795D"/>
    <w:rsid w:val="00B324C9"/>
    <w:rsid w:val="00B3382A"/>
    <w:rsid w:val="00B34AA7"/>
    <w:rsid w:val="00B34C0F"/>
    <w:rsid w:val="00B3799A"/>
    <w:rsid w:val="00B446F0"/>
    <w:rsid w:val="00B452DC"/>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C42"/>
    <w:rsid w:val="00B67E12"/>
    <w:rsid w:val="00B70917"/>
    <w:rsid w:val="00B7104F"/>
    <w:rsid w:val="00B7232D"/>
    <w:rsid w:val="00B741D0"/>
    <w:rsid w:val="00B80EDA"/>
    <w:rsid w:val="00B81AC2"/>
    <w:rsid w:val="00B86238"/>
    <w:rsid w:val="00B873D1"/>
    <w:rsid w:val="00B902B0"/>
    <w:rsid w:val="00B90F2D"/>
    <w:rsid w:val="00B9117E"/>
    <w:rsid w:val="00B92A16"/>
    <w:rsid w:val="00B92D64"/>
    <w:rsid w:val="00B939CD"/>
    <w:rsid w:val="00B93F2B"/>
    <w:rsid w:val="00B9553D"/>
    <w:rsid w:val="00B962E0"/>
    <w:rsid w:val="00B96D48"/>
    <w:rsid w:val="00B96EC5"/>
    <w:rsid w:val="00BA08AE"/>
    <w:rsid w:val="00BA2BF4"/>
    <w:rsid w:val="00BA4DCA"/>
    <w:rsid w:val="00BA5C76"/>
    <w:rsid w:val="00BB0B11"/>
    <w:rsid w:val="00BB0CA0"/>
    <w:rsid w:val="00BB2B37"/>
    <w:rsid w:val="00BB3584"/>
    <w:rsid w:val="00BB4F0A"/>
    <w:rsid w:val="00BB52AC"/>
    <w:rsid w:val="00BB551A"/>
    <w:rsid w:val="00BB5A1B"/>
    <w:rsid w:val="00BC1121"/>
    <w:rsid w:val="00BC1B63"/>
    <w:rsid w:val="00BC312E"/>
    <w:rsid w:val="00BC341E"/>
    <w:rsid w:val="00BC73C7"/>
    <w:rsid w:val="00BC7F6D"/>
    <w:rsid w:val="00BD0421"/>
    <w:rsid w:val="00BD0642"/>
    <w:rsid w:val="00BD12BC"/>
    <w:rsid w:val="00BD5062"/>
    <w:rsid w:val="00BD78F9"/>
    <w:rsid w:val="00BE1160"/>
    <w:rsid w:val="00BE1A06"/>
    <w:rsid w:val="00BE3E1E"/>
    <w:rsid w:val="00BF2D4D"/>
    <w:rsid w:val="00BF4604"/>
    <w:rsid w:val="00BF5C02"/>
    <w:rsid w:val="00BF6448"/>
    <w:rsid w:val="00C01F93"/>
    <w:rsid w:val="00C02C2C"/>
    <w:rsid w:val="00C02DAD"/>
    <w:rsid w:val="00C113CA"/>
    <w:rsid w:val="00C14DF5"/>
    <w:rsid w:val="00C15C97"/>
    <w:rsid w:val="00C16117"/>
    <w:rsid w:val="00C21D4D"/>
    <w:rsid w:val="00C22156"/>
    <w:rsid w:val="00C22D74"/>
    <w:rsid w:val="00C258E5"/>
    <w:rsid w:val="00C311EA"/>
    <w:rsid w:val="00C3144C"/>
    <w:rsid w:val="00C33CB2"/>
    <w:rsid w:val="00C3687E"/>
    <w:rsid w:val="00C40F37"/>
    <w:rsid w:val="00C4269C"/>
    <w:rsid w:val="00C54490"/>
    <w:rsid w:val="00C55CE8"/>
    <w:rsid w:val="00C55F09"/>
    <w:rsid w:val="00C569F5"/>
    <w:rsid w:val="00C56FE7"/>
    <w:rsid w:val="00C572F8"/>
    <w:rsid w:val="00C61583"/>
    <w:rsid w:val="00C61806"/>
    <w:rsid w:val="00C61F41"/>
    <w:rsid w:val="00C62B8B"/>
    <w:rsid w:val="00C62EF2"/>
    <w:rsid w:val="00C63338"/>
    <w:rsid w:val="00C637A2"/>
    <w:rsid w:val="00C64995"/>
    <w:rsid w:val="00C66AEF"/>
    <w:rsid w:val="00C66B8C"/>
    <w:rsid w:val="00C66FFD"/>
    <w:rsid w:val="00C6794D"/>
    <w:rsid w:val="00C7502D"/>
    <w:rsid w:val="00C8057B"/>
    <w:rsid w:val="00C80A61"/>
    <w:rsid w:val="00C8162D"/>
    <w:rsid w:val="00C81EF5"/>
    <w:rsid w:val="00C85782"/>
    <w:rsid w:val="00C86E83"/>
    <w:rsid w:val="00C87169"/>
    <w:rsid w:val="00C90394"/>
    <w:rsid w:val="00C908B9"/>
    <w:rsid w:val="00C91BEC"/>
    <w:rsid w:val="00C93362"/>
    <w:rsid w:val="00C937E4"/>
    <w:rsid w:val="00C97832"/>
    <w:rsid w:val="00CA0AA8"/>
    <w:rsid w:val="00CA1161"/>
    <w:rsid w:val="00CA1EEA"/>
    <w:rsid w:val="00CA32C2"/>
    <w:rsid w:val="00CA3410"/>
    <w:rsid w:val="00CA4712"/>
    <w:rsid w:val="00CB424F"/>
    <w:rsid w:val="00CB76FF"/>
    <w:rsid w:val="00CC105F"/>
    <w:rsid w:val="00CC36AA"/>
    <w:rsid w:val="00CC3D6F"/>
    <w:rsid w:val="00CC3F5B"/>
    <w:rsid w:val="00CC4085"/>
    <w:rsid w:val="00CC4ACE"/>
    <w:rsid w:val="00CC5856"/>
    <w:rsid w:val="00CC6404"/>
    <w:rsid w:val="00CC6843"/>
    <w:rsid w:val="00CC7407"/>
    <w:rsid w:val="00CD0478"/>
    <w:rsid w:val="00CD327B"/>
    <w:rsid w:val="00CD4EB2"/>
    <w:rsid w:val="00CD7006"/>
    <w:rsid w:val="00CE06F6"/>
    <w:rsid w:val="00CE1539"/>
    <w:rsid w:val="00CE4E95"/>
    <w:rsid w:val="00CE6050"/>
    <w:rsid w:val="00CE7086"/>
    <w:rsid w:val="00CE74C2"/>
    <w:rsid w:val="00CF0430"/>
    <w:rsid w:val="00CF19C3"/>
    <w:rsid w:val="00CF209E"/>
    <w:rsid w:val="00CF2F2F"/>
    <w:rsid w:val="00CF460A"/>
    <w:rsid w:val="00D007B4"/>
    <w:rsid w:val="00D00842"/>
    <w:rsid w:val="00D04331"/>
    <w:rsid w:val="00D04511"/>
    <w:rsid w:val="00D076A2"/>
    <w:rsid w:val="00D10489"/>
    <w:rsid w:val="00D1104B"/>
    <w:rsid w:val="00D13249"/>
    <w:rsid w:val="00D140CE"/>
    <w:rsid w:val="00D14E19"/>
    <w:rsid w:val="00D16249"/>
    <w:rsid w:val="00D17805"/>
    <w:rsid w:val="00D205AB"/>
    <w:rsid w:val="00D21677"/>
    <w:rsid w:val="00D226FB"/>
    <w:rsid w:val="00D24613"/>
    <w:rsid w:val="00D25BA1"/>
    <w:rsid w:val="00D279A2"/>
    <w:rsid w:val="00D322D0"/>
    <w:rsid w:val="00D327BC"/>
    <w:rsid w:val="00D32BCC"/>
    <w:rsid w:val="00D37262"/>
    <w:rsid w:val="00D3763D"/>
    <w:rsid w:val="00D37A96"/>
    <w:rsid w:val="00D42A68"/>
    <w:rsid w:val="00D4567F"/>
    <w:rsid w:val="00D45F7D"/>
    <w:rsid w:val="00D463F6"/>
    <w:rsid w:val="00D4646B"/>
    <w:rsid w:val="00D5074E"/>
    <w:rsid w:val="00D50B5F"/>
    <w:rsid w:val="00D53596"/>
    <w:rsid w:val="00D5457D"/>
    <w:rsid w:val="00D559C1"/>
    <w:rsid w:val="00D55DB1"/>
    <w:rsid w:val="00D56CB1"/>
    <w:rsid w:val="00D6261F"/>
    <w:rsid w:val="00D626BC"/>
    <w:rsid w:val="00D67114"/>
    <w:rsid w:val="00D67AA9"/>
    <w:rsid w:val="00D706D1"/>
    <w:rsid w:val="00D7136F"/>
    <w:rsid w:val="00D71741"/>
    <w:rsid w:val="00D72BCE"/>
    <w:rsid w:val="00D75605"/>
    <w:rsid w:val="00D75DEE"/>
    <w:rsid w:val="00D76D6F"/>
    <w:rsid w:val="00D779A6"/>
    <w:rsid w:val="00D80F2E"/>
    <w:rsid w:val="00D853E7"/>
    <w:rsid w:val="00D9054E"/>
    <w:rsid w:val="00D9480E"/>
    <w:rsid w:val="00D948F4"/>
    <w:rsid w:val="00D95E19"/>
    <w:rsid w:val="00D962B2"/>
    <w:rsid w:val="00D97390"/>
    <w:rsid w:val="00DA13F9"/>
    <w:rsid w:val="00DA1401"/>
    <w:rsid w:val="00DA5334"/>
    <w:rsid w:val="00DB0A3D"/>
    <w:rsid w:val="00DB1FC0"/>
    <w:rsid w:val="00DB751C"/>
    <w:rsid w:val="00DC17C7"/>
    <w:rsid w:val="00DC2DA6"/>
    <w:rsid w:val="00DC3E7B"/>
    <w:rsid w:val="00DC6556"/>
    <w:rsid w:val="00DC6E76"/>
    <w:rsid w:val="00DC7F24"/>
    <w:rsid w:val="00DD0602"/>
    <w:rsid w:val="00DD25AD"/>
    <w:rsid w:val="00DD2F22"/>
    <w:rsid w:val="00DD475D"/>
    <w:rsid w:val="00DD5A6B"/>
    <w:rsid w:val="00DD72F7"/>
    <w:rsid w:val="00DE0AD2"/>
    <w:rsid w:val="00DE16C6"/>
    <w:rsid w:val="00DE1DBA"/>
    <w:rsid w:val="00DE2F0C"/>
    <w:rsid w:val="00DE7707"/>
    <w:rsid w:val="00DF3088"/>
    <w:rsid w:val="00DF694C"/>
    <w:rsid w:val="00DF788F"/>
    <w:rsid w:val="00E00EBE"/>
    <w:rsid w:val="00E01AE6"/>
    <w:rsid w:val="00E01B01"/>
    <w:rsid w:val="00E05969"/>
    <w:rsid w:val="00E07518"/>
    <w:rsid w:val="00E10CA8"/>
    <w:rsid w:val="00E13458"/>
    <w:rsid w:val="00E141A1"/>
    <w:rsid w:val="00E146AB"/>
    <w:rsid w:val="00E14A64"/>
    <w:rsid w:val="00E153C7"/>
    <w:rsid w:val="00E168C8"/>
    <w:rsid w:val="00E20828"/>
    <w:rsid w:val="00E21E80"/>
    <w:rsid w:val="00E2435A"/>
    <w:rsid w:val="00E2452C"/>
    <w:rsid w:val="00E24F0C"/>
    <w:rsid w:val="00E258DD"/>
    <w:rsid w:val="00E25DB3"/>
    <w:rsid w:val="00E32F50"/>
    <w:rsid w:val="00E34373"/>
    <w:rsid w:val="00E35861"/>
    <w:rsid w:val="00E362CC"/>
    <w:rsid w:val="00E36976"/>
    <w:rsid w:val="00E36AAC"/>
    <w:rsid w:val="00E37BE7"/>
    <w:rsid w:val="00E404B8"/>
    <w:rsid w:val="00E442DC"/>
    <w:rsid w:val="00E45431"/>
    <w:rsid w:val="00E45AD6"/>
    <w:rsid w:val="00E50AD2"/>
    <w:rsid w:val="00E51C1F"/>
    <w:rsid w:val="00E54EE3"/>
    <w:rsid w:val="00E55B93"/>
    <w:rsid w:val="00E5661C"/>
    <w:rsid w:val="00E57656"/>
    <w:rsid w:val="00E62598"/>
    <w:rsid w:val="00E62D7E"/>
    <w:rsid w:val="00E62D96"/>
    <w:rsid w:val="00E62DA3"/>
    <w:rsid w:val="00E641D1"/>
    <w:rsid w:val="00E6472F"/>
    <w:rsid w:val="00E648F7"/>
    <w:rsid w:val="00E65A50"/>
    <w:rsid w:val="00E710EE"/>
    <w:rsid w:val="00E75E01"/>
    <w:rsid w:val="00E77478"/>
    <w:rsid w:val="00E81276"/>
    <w:rsid w:val="00E81E39"/>
    <w:rsid w:val="00E832DB"/>
    <w:rsid w:val="00E9349C"/>
    <w:rsid w:val="00E9463C"/>
    <w:rsid w:val="00E947A2"/>
    <w:rsid w:val="00E94996"/>
    <w:rsid w:val="00E959F7"/>
    <w:rsid w:val="00E97F7C"/>
    <w:rsid w:val="00EA3251"/>
    <w:rsid w:val="00EA6A48"/>
    <w:rsid w:val="00EB0811"/>
    <w:rsid w:val="00EB10B4"/>
    <w:rsid w:val="00EB18F1"/>
    <w:rsid w:val="00EB193B"/>
    <w:rsid w:val="00EB446B"/>
    <w:rsid w:val="00EB5CE0"/>
    <w:rsid w:val="00EB62E6"/>
    <w:rsid w:val="00EC08ED"/>
    <w:rsid w:val="00EC134B"/>
    <w:rsid w:val="00EC3BEC"/>
    <w:rsid w:val="00ED0535"/>
    <w:rsid w:val="00ED1C28"/>
    <w:rsid w:val="00ED1C3F"/>
    <w:rsid w:val="00ED31CA"/>
    <w:rsid w:val="00ED3380"/>
    <w:rsid w:val="00ED3896"/>
    <w:rsid w:val="00ED3A50"/>
    <w:rsid w:val="00ED65E5"/>
    <w:rsid w:val="00ED670D"/>
    <w:rsid w:val="00ED77E9"/>
    <w:rsid w:val="00EE167A"/>
    <w:rsid w:val="00EE28A9"/>
    <w:rsid w:val="00EE2BC1"/>
    <w:rsid w:val="00EE32FC"/>
    <w:rsid w:val="00EE57C5"/>
    <w:rsid w:val="00EE77DD"/>
    <w:rsid w:val="00EE7D96"/>
    <w:rsid w:val="00EF0A65"/>
    <w:rsid w:val="00EF3144"/>
    <w:rsid w:val="00EF3718"/>
    <w:rsid w:val="00EF4B4C"/>
    <w:rsid w:val="00EF7EFC"/>
    <w:rsid w:val="00F00197"/>
    <w:rsid w:val="00F005BD"/>
    <w:rsid w:val="00F04757"/>
    <w:rsid w:val="00F0578A"/>
    <w:rsid w:val="00F07EEF"/>
    <w:rsid w:val="00F10267"/>
    <w:rsid w:val="00F10304"/>
    <w:rsid w:val="00F119EB"/>
    <w:rsid w:val="00F11FD9"/>
    <w:rsid w:val="00F142A0"/>
    <w:rsid w:val="00F15BD8"/>
    <w:rsid w:val="00F17C92"/>
    <w:rsid w:val="00F20B5E"/>
    <w:rsid w:val="00F24D09"/>
    <w:rsid w:val="00F26337"/>
    <w:rsid w:val="00F275C2"/>
    <w:rsid w:val="00F27E73"/>
    <w:rsid w:val="00F30A0F"/>
    <w:rsid w:val="00F32BCA"/>
    <w:rsid w:val="00F35D7F"/>
    <w:rsid w:val="00F363A5"/>
    <w:rsid w:val="00F3771C"/>
    <w:rsid w:val="00F37771"/>
    <w:rsid w:val="00F409F5"/>
    <w:rsid w:val="00F41760"/>
    <w:rsid w:val="00F41A9D"/>
    <w:rsid w:val="00F43B3B"/>
    <w:rsid w:val="00F44F2D"/>
    <w:rsid w:val="00F45DC5"/>
    <w:rsid w:val="00F50477"/>
    <w:rsid w:val="00F536DA"/>
    <w:rsid w:val="00F53E90"/>
    <w:rsid w:val="00F5476E"/>
    <w:rsid w:val="00F552E9"/>
    <w:rsid w:val="00F5692B"/>
    <w:rsid w:val="00F5795D"/>
    <w:rsid w:val="00F651C2"/>
    <w:rsid w:val="00F65E0E"/>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F9C"/>
    <w:rsid w:val="00F84484"/>
    <w:rsid w:val="00F85B7E"/>
    <w:rsid w:val="00F85E7F"/>
    <w:rsid w:val="00F91315"/>
    <w:rsid w:val="00F916E6"/>
    <w:rsid w:val="00F9275B"/>
    <w:rsid w:val="00F929EA"/>
    <w:rsid w:val="00F94892"/>
    <w:rsid w:val="00F97029"/>
    <w:rsid w:val="00FA00AB"/>
    <w:rsid w:val="00FA0237"/>
    <w:rsid w:val="00FA06BD"/>
    <w:rsid w:val="00FA4FD6"/>
    <w:rsid w:val="00FA6A09"/>
    <w:rsid w:val="00FA700F"/>
    <w:rsid w:val="00FA7AAD"/>
    <w:rsid w:val="00FA7F92"/>
    <w:rsid w:val="00FB015F"/>
    <w:rsid w:val="00FB030E"/>
    <w:rsid w:val="00FB073D"/>
    <w:rsid w:val="00FB0C7F"/>
    <w:rsid w:val="00FB10BF"/>
    <w:rsid w:val="00FB3EEC"/>
    <w:rsid w:val="00FB4FB3"/>
    <w:rsid w:val="00FB5FA4"/>
    <w:rsid w:val="00FB7AAD"/>
    <w:rsid w:val="00FB7C06"/>
    <w:rsid w:val="00FB7C7C"/>
    <w:rsid w:val="00FC349A"/>
    <w:rsid w:val="00FC3F92"/>
    <w:rsid w:val="00FC5856"/>
    <w:rsid w:val="00FC5950"/>
    <w:rsid w:val="00FC6AF0"/>
    <w:rsid w:val="00FC7321"/>
    <w:rsid w:val="00FD06E5"/>
    <w:rsid w:val="00FD0F94"/>
    <w:rsid w:val="00FD52FE"/>
    <w:rsid w:val="00FD5D67"/>
    <w:rsid w:val="00FD6817"/>
    <w:rsid w:val="00FD6D70"/>
    <w:rsid w:val="00FD703A"/>
    <w:rsid w:val="00FE104A"/>
    <w:rsid w:val="00FE1B18"/>
    <w:rsid w:val="00FE39B0"/>
    <w:rsid w:val="00FE4146"/>
    <w:rsid w:val="00FE58FB"/>
    <w:rsid w:val="00FE7AB7"/>
    <w:rsid w:val="00FF27D2"/>
    <w:rsid w:val="00FF2827"/>
    <w:rsid w:val="00FF2DB7"/>
    <w:rsid w:val="00FF3ABB"/>
    <w:rsid w:val="01F27ABC"/>
    <w:rsid w:val="03AE034D"/>
    <w:rsid w:val="03AF4D25"/>
    <w:rsid w:val="03F64C89"/>
    <w:rsid w:val="03F926F9"/>
    <w:rsid w:val="04907BDC"/>
    <w:rsid w:val="04AD0659"/>
    <w:rsid w:val="058B2628"/>
    <w:rsid w:val="05B819DC"/>
    <w:rsid w:val="05D07899"/>
    <w:rsid w:val="06015A5D"/>
    <w:rsid w:val="065C2129"/>
    <w:rsid w:val="06B24CE9"/>
    <w:rsid w:val="07095031"/>
    <w:rsid w:val="07F21CF9"/>
    <w:rsid w:val="080B3940"/>
    <w:rsid w:val="097B5A01"/>
    <w:rsid w:val="0A2A38DC"/>
    <w:rsid w:val="0A906BDE"/>
    <w:rsid w:val="0B873646"/>
    <w:rsid w:val="0BCD436B"/>
    <w:rsid w:val="0C9814B6"/>
    <w:rsid w:val="0CEF6BD7"/>
    <w:rsid w:val="0D68533E"/>
    <w:rsid w:val="0E137C55"/>
    <w:rsid w:val="0E90699F"/>
    <w:rsid w:val="0F3405E0"/>
    <w:rsid w:val="10FF5EF2"/>
    <w:rsid w:val="12063819"/>
    <w:rsid w:val="12600DAE"/>
    <w:rsid w:val="12C02EFB"/>
    <w:rsid w:val="12F86B20"/>
    <w:rsid w:val="131B2DD8"/>
    <w:rsid w:val="14037D2E"/>
    <w:rsid w:val="15D06103"/>
    <w:rsid w:val="169C7128"/>
    <w:rsid w:val="16C31A06"/>
    <w:rsid w:val="17B65676"/>
    <w:rsid w:val="17D91E73"/>
    <w:rsid w:val="18186804"/>
    <w:rsid w:val="18E86D07"/>
    <w:rsid w:val="193F3921"/>
    <w:rsid w:val="198729D5"/>
    <w:rsid w:val="19CB14DE"/>
    <w:rsid w:val="1AE74234"/>
    <w:rsid w:val="1B14476F"/>
    <w:rsid w:val="1B1D054C"/>
    <w:rsid w:val="1B200164"/>
    <w:rsid w:val="1C3E316A"/>
    <w:rsid w:val="1C4F32BF"/>
    <w:rsid w:val="1CEA11EA"/>
    <w:rsid w:val="1D0C28B4"/>
    <w:rsid w:val="1D2F1B9D"/>
    <w:rsid w:val="1D574B6C"/>
    <w:rsid w:val="1DF8360E"/>
    <w:rsid w:val="1E4538B6"/>
    <w:rsid w:val="1E612E85"/>
    <w:rsid w:val="1EBA5F15"/>
    <w:rsid w:val="1FA37075"/>
    <w:rsid w:val="20213656"/>
    <w:rsid w:val="20327BDE"/>
    <w:rsid w:val="205B0508"/>
    <w:rsid w:val="208126BC"/>
    <w:rsid w:val="218F1005"/>
    <w:rsid w:val="232F456D"/>
    <w:rsid w:val="234E6489"/>
    <w:rsid w:val="24AB162E"/>
    <w:rsid w:val="25DE4C6C"/>
    <w:rsid w:val="25FF73E4"/>
    <w:rsid w:val="26001E77"/>
    <w:rsid w:val="26F56E1E"/>
    <w:rsid w:val="27413274"/>
    <w:rsid w:val="27AA7420"/>
    <w:rsid w:val="27E00166"/>
    <w:rsid w:val="28026E67"/>
    <w:rsid w:val="28932C21"/>
    <w:rsid w:val="28DD1D9B"/>
    <w:rsid w:val="29641C74"/>
    <w:rsid w:val="2A5650D2"/>
    <w:rsid w:val="2A986AFB"/>
    <w:rsid w:val="2C8D1227"/>
    <w:rsid w:val="2DD44706"/>
    <w:rsid w:val="2DD97BC5"/>
    <w:rsid w:val="2E445076"/>
    <w:rsid w:val="2FF034A9"/>
    <w:rsid w:val="313047C4"/>
    <w:rsid w:val="3179263A"/>
    <w:rsid w:val="320D0EF2"/>
    <w:rsid w:val="32513F61"/>
    <w:rsid w:val="33245CBD"/>
    <w:rsid w:val="33276FCD"/>
    <w:rsid w:val="336D3D6E"/>
    <w:rsid w:val="33FB282F"/>
    <w:rsid w:val="34C20E1D"/>
    <w:rsid w:val="34E86338"/>
    <w:rsid w:val="359E1A84"/>
    <w:rsid w:val="36094FF1"/>
    <w:rsid w:val="36316837"/>
    <w:rsid w:val="363B0C62"/>
    <w:rsid w:val="363B5900"/>
    <w:rsid w:val="37FD5539"/>
    <w:rsid w:val="382C2660"/>
    <w:rsid w:val="38363A38"/>
    <w:rsid w:val="384001AE"/>
    <w:rsid w:val="3844152A"/>
    <w:rsid w:val="38D05A26"/>
    <w:rsid w:val="39861BFE"/>
    <w:rsid w:val="39902C7F"/>
    <w:rsid w:val="3A0D254A"/>
    <w:rsid w:val="3A1918DE"/>
    <w:rsid w:val="3A5D10CE"/>
    <w:rsid w:val="3BD73043"/>
    <w:rsid w:val="3C5D4096"/>
    <w:rsid w:val="3CA74FDC"/>
    <w:rsid w:val="3CE466A3"/>
    <w:rsid w:val="3D114E3F"/>
    <w:rsid w:val="3D4A533D"/>
    <w:rsid w:val="3EBE3C01"/>
    <w:rsid w:val="3ECA0515"/>
    <w:rsid w:val="3EE31417"/>
    <w:rsid w:val="3F614D4F"/>
    <w:rsid w:val="3FAA604A"/>
    <w:rsid w:val="3FD91DCF"/>
    <w:rsid w:val="40915CFA"/>
    <w:rsid w:val="40C4203D"/>
    <w:rsid w:val="424C101C"/>
    <w:rsid w:val="425E35CE"/>
    <w:rsid w:val="428C6FD2"/>
    <w:rsid w:val="440D707A"/>
    <w:rsid w:val="44177BC5"/>
    <w:rsid w:val="450361BB"/>
    <w:rsid w:val="45973157"/>
    <w:rsid w:val="462402AA"/>
    <w:rsid w:val="4738310B"/>
    <w:rsid w:val="478E5BF3"/>
    <w:rsid w:val="481063DC"/>
    <w:rsid w:val="485D609C"/>
    <w:rsid w:val="48610E04"/>
    <w:rsid w:val="488A6CDF"/>
    <w:rsid w:val="4BBC594D"/>
    <w:rsid w:val="4C94319E"/>
    <w:rsid w:val="4CA45C4B"/>
    <w:rsid w:val="4CC4617F"/>
    <w:rsid w:val="4DB03AF9"/>
    <w:rsid w:val="4E1D2847"/>
    <w:rsid w:val="4E676728"/>
    <w:rsid w:val="4F1E5E0B"/>
    <w:rsid w:val="4F6F6AB4"/>
    <w:rsid w:val="4FD33884"/>
    <w:rsid w:val="4FEF1DB8"/>
    <w:rsid w:val="50455641"/>
    <w:rsid w:val="50E25F78"/>
    <w:rsid w:val="522F68EA"/>
    <w:rsid w:val="52443795"/>
    <w:rsid w:val="524B3013"/>
    <w:rsid w:val="524E5263"/>
    <w:rsid w:val="53CC33F1"/>
    <w:rsid w:val="54A440FC"/>
    <w:rsid w:val="54F85711"/>
    <w:rsid w:val="554738F5"/>
    <w:rsid w:val="55A07807"/>
    <w:rsid w:val="563775F5"/>
    <w:rsid w:val="581A12F1"/>
    <w:rsid w:val="58594A8F"/>
    <w:rsid w:val="585B3B38"/>
    <w:rsid w:val="58A27717"/>
    <w:rsid w:val="59F2455A"/>
    <w:rsid w:val="5A885672"/>
    <w:rsid w:val="5A960B0F"/>
    <w:rsid w:val="5AA340C2"/>
    <w:rsid w:val="5ADF571C"/>
    <w:rsid w:val="5B36341D"/>
    <w:rsid w:val="5B865588"/>
    <w:rsid w:val="5CE37795"/>
    <w:rsid w:val="5D0A2042"/>
    <w:rsid w:val="5D406F09"/>
    <w:rsid w:val="5D556EAE"/>
    <w:rsid w:val="5E767EF3"/>
    <w:rsid w:val="5F0977F9"/>
    <w:rsid w:val="5FF15333"/>
    <w:rsid w:val="600D6620"/>
    <w:rsid w:val="60C82547"/>
    <w:rsid w:val="60ED0C93"/>
    <w:rsid w:val="60FF6494"/>
    <w:rsid w:val="6196546A"/>
    <w:rsid w:val="62781A5F"/>
    <w:rsid w:val="62E4334D"/>
    <w:rsid w:val="63A412B9"/>
    <w:rsid w:val="64660B56"/>
    <w:rsid w:val="64833DB3"/>
    <w:rsid w:val="64BB76D0"/>
    <w:rsid w:val="64BC09D4"/>
    <w:rsid w:val="65FE2215"/>
    <w:rsid w:val="66C82C7E"/>
    <w:rsid w:val="67FD44B8"/>
    <w:rsid w:val="680A7DBC"/>
    <w:rsid w:val="68BE2D94"/>
    <w:rsid w:val="68EE6614"/>
    <w:rsid w:val="69485628"/>
    <w:rsid w:val="69E7514E"/>
    <w:rsid w:val="6A903FA9"/>
    <w:rsid w:val="6B1F0FEC"/>
    <w:rsid w:val="6B3561BD"/>
    <w:rsid w:val="6CC07DFA"/>
    <w:rsid w:val="6CDA3D2E"/>
    <w:rsid w:val="6CF351D3"/>
    <w:rsid w:val="6DE1317F"/>
    <w:rsid w:val="6E20430C"/>
    <w:rsid w:val="6EDD106E"/>
    <w:rsid w:val="6EE50430"/>
    <w:rsid w:val="706E3E82"/>
    <w:rsid w:val="710E5E8B"/>
    <w:rsid w:val="7144725F"/>
    <w:rsid w:val="720B5C89"/>
    <w:rsid w:val="72336B7E"/>
    <w:rsid w:val="732247C6"/>
    <w:rsid w:val="73CE5A0F"/>
    <w:rsid w:val="73E05929"/>
    <w:rsid w:val="73F82D1E"/>
    <w:rsid w:val="73FB3F54"/>
    <w:rsid w:val="73FE7EEF"/>
    <w:rsid w:val="740370F5"/>
    <w:rsid w:val="746670FF"/>
    <w:rsid w:val="74F66D43"/>
    <w:rsid w:val="75C57FE8"/>
    <w:rsid w:val="76423EBA"/>
    <w:rsid w:val="768E1D0F"/>
    <w:rsid w:val="774436AF"/>
    <w:rsid w:val="7A373D8F"/>
    <w:rsid w:val="7BA86868"/>
    <w:rsid w:val="7C073C86"/>
    <w:rsid w:val="7C180B2E"/>
    <w:rsid w:val="7CFF1A50"/>
    <w:rsid w:val="7DF65A34"/>
    <w:rsid w:val="7E8761AF"/>
    <w:rsid w:val="7EC507B0"/>
    <w:rsid w:val="7F0C1437"/>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line="360" w:lineRule="auto"/>
      <w:ind w:firstLine="420" w:firstLineChars="150"/>
    </w:pPr>
    <w:rPr>
      <w:rFonts w:asciiTheme="minorAscii" w:hAnsiTheme="minorAscii" w:eastAsiaTheme="minorEastAsia" w:cstheme="minorBidi"/>
      <w:sz w:val="22"/>
      <w:szCs w:val="22"/>
      <w:lang w:val="pt-BR" w:eastAsia="en-US" w:bidi="ar-SA"/>
    </w:rPr>
  </w:style>
  <w:style w:type="paragraph" w:styleId="2">
    <w:name w:val="heading 1"/>
    <w:basedOn w:val="1"/>
    <w:link w:val="66"/>
    <w:qFormat/>
    <w:uiPriority w:val="0"/>
    <w:pPr>
      <w:suppressAutoHyphens/>
      <w:autoSpaceDN w:val="0"/>
      <w:spacing w:before="88" w:after="0" w:line="240" w:lineRule="auto"/>
      <w:ind w:left="186"/>
      <w:textAlignment w:val="baseline"/>
      <w:outlineLvl w:val="0"/>
    </w:pPr>
    <w:rPr>
      <w:rFonts w:ascii="Arial" w:hAnsi="Arial" w:eastAsia="Arial" w:cs="Arial"/>
      <w:b/>
      <w:bCs/>
      <w:kern w:val="3"/>
      <w:sz w:val="20"/>
      <w:szCs w:val="20"/>
      <w:lang w:val="pt-PT"/>
    </w:rPr>
  </w:style>
  <w:style w:type="paragraph" w:styleId="3">
    <w:name w:val="heading 2"/>
    <w:basedOn w:val="1"/>
    <w:next w:val="4"/>
    <w:link w:val="67"/>
    <w:unhideWhenUsed/>
    <w:qFormat/>
    <w:uiPriority w:val="9"/>
    <w:pPr>
      <w:keepNext/>
      <w:keepLines/>
      <w:numPr>
        <w:ilvl w:val="0"/>
        <w:numId w:val="1"/>
      </w:numPr>
      <w:spacing w:before="40" w:after="0"/>
      <w:outlineLvl w:val="1"/>
    </w:pPr>
    <w:rPr>
      <w:rFonts w:asciiTheme="majorHAnsi" w:hAnsiTheme="majorHAnsi" w:eastAsiaTheme="majorEastAsia" w:cstheme="majorBidi"/>
      <w:color w:val="2F5597" w:themeColor="accent1" w:themeShade="BF"/>
      <w:sz w:val="26"/>
      <w:szCs w:val="26"/>
    </w:rPr>
  </w:style>
  <w:style w:type="paragraph" w:styleId="5">
    <w:name w:val="heading 3"/>
    <w:basedOn w:val="1"/>
    <w:next w:val="1"/>
    <w:link w:val="68"/>
    <w:unhideWhenUsed/>
    <w:qFormat/>
    <w:uiPriority w:val="9"/>
    <w:pPr>
      <w:keepNext/>
      <w:keepLines/>
      <w:numPr>
        <w:ilvl w:val="0"/>
        <w:numId w:val="2"/>
      </w:numPr>
      <w:spacing w:before="40" w:after="0"/>
      <w:outlineLvl w:val="2"/>
    </w:pPr>
    <w:rPr>
      <w:rFonts w:asciiTheme="majorHAnsi" w:hAnsiTheme="majorHAnsi" w:eastAsiaTheme="majorEastAsia" w:cstheme="majorBidi"/>
      <w:color w:val="203864" w:themeColor="accent1" w:themeShade="80"/>
      <w:sz w:val="24"/>
      <w:szCs w:val="24"/>
    </w:rPr>
  </w:style>
  <w:style w:type="paragraph" w:styleId="6">
    <w:name w:val="heading 4"/>
    <w:basedOn w:val="1"/>
    <w:next w:val="1"/>
    <w:link w:val="74"/>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paragraph" w:styleId="7">
    <w:name w:val="heading 5"/>
    <w:basedOn w:val="1"/>
    <w:next w:val="1"/>
    <w:link w:val="75"/>
    <w:unhideWhenUsed/>
    <w:qFormat/>
    <w:uiPriority w:val="9"/>
    <w:pPr>
      <w:keepNext/>
      <w:keepLines/>
      <w:spacing w:before="40" w:after="0"/>
      <w:outlineLvl w:val="4"/>
    </w:pPr>
    <w:rPr>
      <w:rFonts w:asciiTheme="majorHAnsi" w:hAnsiTheme="majorHAnsi" w:eastAsiaTheme="majorEastAsia" w:cstheme="majorBidi"/>
      <w:color w:val="2F5597" w:themeColor="accent1" w:themeShade="BF"/>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79"/>
    <w:qFormat/>
    <w:uiPriority w:val="0"/>
    <w:pPr>
      <w:suppressAutoHyphens/>
      <w:spacing w:after="140" w:line="276" w:lineRule="auto"/>
    </w:pPr>
  </w:style>
  <w:style w:type="character" w:styleId="10">
    <w:name w:val="Strong"/>
    <w:basedOn w:val="8"/>
    <w:qFormat/>
    <w:uiPriority w:val="22"/>
    <w:rPr>
      <w:b/>
      <w:bCs/>
    </w:rPr>
  </w:style>
  <w:style w:type="character" w:styleId="11">
    <w:name w:val="FollowedHyperlink"/>
    <w:basedOn w:val="8"/>
    <w:semiHidden/>
    <w:unhideWhenUsed/>
    <w:qFormat/>
    <w:uiPriority w:val="99"/>
    <w:rPr>
      <w:color w:val="800080"/>
      <w:u w:val="single"/>
    </w:rPr>
  </w:style>
  <w:style w:type="character" w:styleId="12">
    <w:name w:val="footnote reference"/>
    <w:basedOn w:val="8"/>
    <w:semiHidden/>
    <w:unhideWhenUsed/>
    <w:qFormat/>
    <w:uiPriority w:val="99"/>
    <w:rPr>
      <w:vertAlign w:val="superscript"/>
    </w:rPr>
  </w:style>
  <w:style w:type="character" w:styleId="13">
    <w:name w:val="Hyperlink"/>
    <w:basedOn w:val="8"/>
    <w:unhideWhenUsed/>
    <w:qFormat/>
    <w:uiPriority w:val="99"/>
    <w:rPr>
      <w:color w:val="0000FF"/>
      <w:u w:val="single"/>
    </w:rPr>
  </w:style>
  <w:style w:type="paragraph" w:styleId="14">
    <w:name w:val="toc 2"/>
    <w:basedOn w:val="1"/>
    <w:next w:val="1"/>
    <w:autoRedefine/>
    <w:unhideWhenUsed/>
    <w:qFormat/>
    <w:uiPriority w:val="39"/>
    <w:pPr>
      <w:tabs>
        <w:tab w:val="left" w:pos="660"/>
        <w:tab w:val="right" w:leader="dot" w:pos="9061"/>
      </w:tabs>
      <w:spacing w:after="100"/>
      <w:ind w:left="220"/>
    </w:pPr>
  </w:style>
  <w:style w:type="paragraph" w:styleId="15">
    <w:name w:val="table of figures"/>
    <w:basedOn w:val="1"/>
    <w:next w:val="1"/>
    <w:unhideWhenUsed/>
    <w:qFormat/>
    <w:uiPriority w:val="99"/>
    <w:pPr>
      <w:spacing w:after="0"/>
    </w:pPr>
  </w:style>
  <w:style w:type="paragraph" w:styleId="16">
    <w:name w:val="Title"/>
    <w:basedOn w:val="1"/>
    <w:next w:val="1"/>
    <w:link w:val="72"/>
    <w:qFormat/>
    <w:uiPriority w:val="10"/>
    <w:pPr>
      <w:numPr>
        <w:ilvl w:val="0"/>
        <w:numId w:val="3"/>
      </w:numPr>
      <w:spacing w:after="0" w:line="240" w:lineRule="auto"/>
      <w:contextualSpacing/>
    </w:pPr>
    <w:rPr>
      <w:rFonts w:ascii="Times New Roman" w:hAnsi="Times New Roman" w:cs="Times New Roman" w:eastAsiaTheme="majorEastAsia"/>
      <w:b/>
      <w:bCs/>
      <w:spacing w:val="-10"/>
      <w:kern w:val="28"/>
      <w:sz w:val="24"/>
      <w:szCs w:val="24"/>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18">
    <w:name w:val="toc 4"/>
    <w:basedOn w:val="1"/>
    <w:next w:val="1"/>
    <w:autoRedefine/>
    <w:unhideWhenUsed/>
    <w:qFormat/>
    <w:uiPriority w:val="39"/>
    <w:pPr>
      <w:spacing w:after="100"/>
      <w:ind w:left="660"/>
    </w:pPr>
  </w:style>
  <w:style w:type="paragraph" w:styleId="19">
    <w:name w:val="header"/>
    <w:basedOn w:val="1"/>
    <w:link w:val="27"/>
    <w:unhideWhenUsed/>
    <w:qFormat/>
    <w:uiPriority w:val="99"/>
    <w:pPr>
      <w:tabs>
        <w:tab w:val="center" w:pos="4252"/>
        <w:tab w:val="right" w:pos="8504"/>
      </w:tabs>
      <w:spacing w:after="0" w:line="240" w:lineRule="auto"/>
    </w:pPr>
  </w:style>
  <w:style w:type="paragraph" w:styleId="20">
    <w:name w:val="footer"/>
    <w:basedOn w:val="1"/>
    <w:link w:val="28"/>
    <w:unhideWhenUsed/>
    <w:qFormat/>
    <w:uiPriority w:val="99"/>
    <w:pPr>
      <w:tabs>
        <w:tab w:val="center" w:pos="4252"/>
        <w:tab w:val="right" w:pos="8504"/>
      </w:tabs>
      <w:spacing w:after="0" w:line="240" w:lineRule="auto"/>
    </w:pPr>
  </w:style>
  <w:style w:type="paragraph" w:styleId="21">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22">
    <w:name w:val="toc 3"/>
    <w:basedOn w:val="1"/>
    <w:next w:val="1"/>
    <w:autoRedefine/>
    <w:unhideWhenUsed/>
    <w:qFormat/>
    <w:uiPriority w:val="39"/>
    <w:pPr>
      <w:tabs>
        <w:tab w:val="left" w:pos="1320"/>
        <w:tab w:val="right" w:leader="dot" w:pos="9071"/>
      </w:tabs>
      <w:spacing w:after="100"/>
      <w:ind w:left="440"/>
    </w:pPr>
    <w:rPr>
      <w:rFonts w:ascii="Times New Roman" w:hAnsi="Times New Roman" w:cs="Times New Roman"/>
    </w:rPr>
  </w:style>
  <w:style w:type="paragraph" w:styleId="23">
    <w:name w:val="Balloon Text"/>
    <w:basedOn w:val="1"/>
    <w:link w:val="69"/>
    <w:semiHidden/>
    <w:unhideWhenUsed/>
    <w:qFormat/>
    <w:uiPriority w:val="99"/>
    <w:pPr>
      <w:spacing w:after="0" w:line="240" w:lineRule="auto"/>
    </w:pPr>
    <w:rPr>
      <w:rFonts w:ascii="Segoe UI" w:hAnsi="Segoe UI" w:cs="Segoe UI"/>
      <w:sz w:val="18"/>
      <w:szCs w:val="18"/>
    </w:rPr>
  </w:style>
  <w:style w:type="paragraph" w:styleId="24">
    <w:name w:val="footnote text"/>
    <w:basedOn w:val="1"/>
    <w:link w:val="76"/>
    <w:semiHidden/>
    <w:unhideWhenUsed/>
    <w:qFormat/>
    <w:uiPriority w:val="99"/>
    <w:pPr>
      <w:spacing w:after="0" w:line="240" w:lineRule="auto"/>
    </w:pPr>
    <w:rPr>
      <w:sz w:val="20"/>
      <w:szCs w:val="20"/>
    </w:rPr>
  </w:style>
  <w:style w:type="paragraph" w:styleId="25">
    <w:name w:val="toc 1"/>
    <w:basedOn w:val="1"/>
    <w:next w:val="1"/>
    <w:autoRedefine/>
    <w:unhideWhenUsed/>
    <w:qFormat/>
    <w:uiPriority w:val="39"/>
    <w:pPr>
      <w:spacing w:after="100"/>
    </w:pPr>
  </w:style>
  <w:style w:type="table" w:styleId="26">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Cabeçalho Char"/>
    <w:basedOn w:val="8"/>
    <w:link w:val="19"/>
    <w:qFormat/>
    <w:uiPriority w:val="99"/>
  </w:style>
  <w:style w:type="character" w:customStyle="1" w:styleId="28">
    <w:name w:val="Rodapé Char"/>
    <w:basedOn w:val="8"/>
    <w:link w:val="20"/>
    <w:qFormat/>
    <w:uiPriority w:val="99"/>
  </w:style>
  <w:style w:type="paragraph" w:customStyle="1" w:styleId="29">
    <w:name w:val="western"/>
    <w:basedOn w:val="1"/>
    <w:qFormat/>
    <w:uiPriority w:val="0"/>
    <w:pPr>
      <w:spacing w:before="100" w:beforeAutospacing="1" w:after="142" w:line="276" w:lineRule="auto"/>
      <w:ind w:left="709" w:hanging="11"/>
      <w:jc w:val="both"/>
    </w:pPr>
    <w:rPr>
      <w:rFonts w:ascii="Times New Roman" w:hAnsi="Times New Roman" w:eastAsia="Times New Roman" w:cs="Times New Roman"/>
      <w:color w:val="000000"/>
      <w:sz w:val="24"/>
      <w:szCs w:val="24"/>
      <w:lang w:eastAsia="pt-BR"/>
    </w:rPr>
  </w:style>
  <w:style w:type="paragraph" w:styleId="30">
    <w:name w:val="List Paragraph"/>
    <w:basedOn w:val="1"/>
    <w:link w:val="82"/>
    <w:qFormat/>
    <w:uiPriority w:val="34"/>
    <w:pPr>
      <w:ind w:left="720"/>
      <w:contextualSpacing/>
    </w:pPr>
  </w:style>
  <w:style w:type="paragraph" w:customStyle="1" w:styleId="31">
    <w:name w:val="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customStyle="1" w:styleId="32">
    <w:name w:val="xl65"/>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3">
    <w:name w:val="xl66"/>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4">
    <w:name w:val="xl67"/>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5">
    <w:name w:val="xl68"/>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6">
    <w:name w:val="xl69"/>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7">
    <w:name w:val="xl70"/>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38">
    <w:name w:val="xl71"/>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39">
    <w:name w:val="xl72"/>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0">
    <w:name w:val="xl73"/>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1">
    <w:name w:val="xl74"/>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u w:val="single"/>
      <w:lang w:eastAsia="pt-BR"/>
    </w:rPr>
  </w:style>
  <w:style w:type="paragraph" w:customStyle="1" w:styleId="42">
    <w:name w:val="xl75"/>
    <w:basedOn w:val="1"/>
    <w:qFormat/>
    <w:uiPriority w:val="0"/>
    <w:pPr>
      <w:pBdr>
        <w:top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43">
    <w:name w:val="xl76"/>
    <w:basedOn w:val="1"/>
    <w:qFormat/>
    <w:uiPriority w:val="0"/>
    <w:pPr>
      <w:pBdr>
        <w:bottom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44">
    <w:name w:val="xl77"/>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5">
    <w:name w:val="xl78"/>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6">
    <w:name w:val="xl79"/>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7">
    <w:name w:val="xl80"/>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48">
    <w:name w:val="xl81"/>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9">
    <w:name w:val="xl82"/>
    <w:basedOn w:val="1"/>
    <w:qFormat/>
    <w:uiPriority w:val="0"/>
    <w:pP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50">
    <w:name w:val="xl83"/>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51">
    <w:name w:val="xl84"/>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52">
    <w:name w:val="xl85"/>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53">
    <w:name w:val="xl86"/>
    <w:basedOn w:val="1"/>
    <w:qFormat/>
    <w:uiPriority w:val="0"/>
    <w:pPr>
      <w:pBdr>
        <w:top w:val="single" w:color="auto" w:sz="8" w:space="0"/>
        <w:left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000000"/>
      <w:sz w:val="18"/>
      <w:szCs w:val="18"/>
      <w:lang w:eastAsia="pt-BR"/>
    </w:rPr>
  </w:style>
  <w:style w:type="paragraph" w:customStyle="1" w:styleId="54">
    <w:name w:val="xl87"/>
    <w:basedOn w:val="1"/>
    <w:qFormat/>
    <w:uiPriority w:val="0"/>
    <w:pPr>
      <w:pBdr>
        <w:left w:val="single" w:color="auto" w:sz="8" w:space="0"/>
        <w:bottom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000000"/>
      <w:sz w:val="18"/>
      <w:szCs w:val="18"/>
      <w:lang w:eastAsia="pt-BR"/>
    </w:rPr>
  </w:style>
  <w:style w:type="paragraph" w:customStyle="1" w:styleId="55">
    <w:name w:val="xl88"/>
    <w:basedOn w:val="1"/>
    <w:qFormat/>
    <w:uiPriority w:val="0"/>
    <w:pPr>
      <w:pBdr>
        <w:top w:val="single" w:color="auto" w:sz="8" w:space="0"/>
        <w:left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56">
    <w:name w:val="xl89"/>
    <w:basedOn w:val="1"/>
    <w:qFormat/>
    <w:uiPriority w:val="0"/>
    <w:pPr>
      <w:pBdr>
        <w:left w:val="single" w:color="auto" w:sz="8" w:space="0"/>
        <w:bottom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57">
    <w:name w:val="xl90"/>
    <w:basedOn w:val="1"/>
    <w:qFormat/>
    <w:uiPriority w:val="0"/>
    <w:pPr>
      <w:pBdr>
        <w:top w:val="single" w:color="auto" w:sz="8" w:space="0"/>
        <w:left w:val="single" w:color="auto" w:sz="8" w:space="0"/>
      </w:pBdr>
      <w:spacing w:before="100" w:beforeAutospacing="1" w:after="100" w:afterAutospacing="1" w:line="240" w:lineRule="auto"/>
      <w:textAlignment w:val="center"/>
    </w:pPr>
    <w:rPr>
      <w:rFonts w:ascii="Arial" w:hAnsi="Arial" w:eastAsia="Times New Roman" w:cs="Arial"/>
      <w:b/>
      <w:bCs/>
      <w:color w:val="000000"/>
      <w:sz w:val="18"/>
      <w:szCs w:val="18"/>
      <w:lang w:eastAsia="pt-BR"/>
    </w:rPr>
  </w:style>
  <w:style w:type="paragraph" w:customStyle="1" w:styleId="58">
    <w:name w:val="xl91"/>
    <w:basedOn w:val="1"/>
    <w:qFormat/>
    <w:uiPriority w:val="0"/>
    <w:pPr>
      <w:pBdr>
        <w:top w:val="single" w:color="auto" w:sz="8" w:space="0"/>
        <w:right w:val="single" w:color="auto" w:sz="8" w:space="0"/>
      </w:pBdr>
      <w:spacing w:before="100" w:beforeAutospacing="1" w:after="100" w:afterAutospacing="1" w:line="240" w:lineRule="auto"/>
      <w:textAlignment w:val="center"/>
    </w:pPr>
    <w:rPr>
      <w:rFonts w:ascii="Arial" w:hAnsi="Arial" w:eastAsia="Times New Roman" w:cs="Arial"/>
      <w:b/>
      <w:bCs/>
      <w:color w:val="000000"/>
      <w:sz w:val="18"/>
      <w:szCs w:val="18"/>
      <w:lang w:eastAsia="pt-BR"/>
    </w:rPr>
  </w:style>
  <w:style w:type="paragraph" w:customStyle="1" w:styleId="59">
    <w:name w:val="xl92"/>
    <w:basedOn w:val="1"/>
    <w:qFormat/>
    <w:uiPriority w:val="0"/>
    <w:pPr>
      <w:pBdr>
        <w:left w:val="single" w:color="auto" w:sz="8" w:space="0"/>
        <w:bottom w:val="single" w:color="auto" w:sz="8" w:space="0"/>
      </w:pBdr>
      <w:spacing w:before="100" w:beforeAutospacing="1" w:after="100" w:afterAutospacing="1" w:line="240" w:lineRule="auto"/>
      <w:jc w:val="center"/>
      <w:textAlignment w:val="center"/>
    </w:pPr>
    <w:rPr>
      <w:rFonts w:ascii="Arial" w:hAnsi="Arial" w:eastAsia="Times New Roman" w:cs="Arial"/>
      <w:b/>
      <w:bCs/>
      <w:sz w:val="18"/>
      <w:szCs w:val="18"/>
      <w:lang w:eastAsia="pt-BR"/>
    </w:rPr>
  </w:style>
  <w:style w:type="paragraph" w:customStyle="1" w:styleId="60">
    <w:name w:val="xl93"/>
    <w:basedOn w:val="1"/>
    <w:qFormat/>
    <w:uiPriority w:val="0"/>
    <w:pPr>
      <w:pBdr>
        <w:bottom w:val="single" w:color="auto" w:sz="8" w:space="0"/>
        <w:right w:val="single" w:color="auto" w:sz="8" w:space="0"/>
      </w:pBdr>
      <w:spacing w:before="100" w:beforeAutospacing="1" w:after="100" w:afterAutospacing="1" w:line="240" w:lineRule="auto"/>
      <w:jc w:val="center"/>
      <w:textAlignment w:val="center"/>
    </w:pPr>
    <w:rPr>
      <w:rFonts w:ascii="Arial" w:hAnsi="Arial" w:eastAsia="Times New Roman" w:cs="Arial"/>
      <w:b/>
      <w:bCs/>
      <w:sz w:val="18"/>
      <w:szCs w:val="18"/>
      <w:lang w:eastAsia="pt-BR"/>
    </w:rPr>
  </w:style>
  <w:style w:type="paragraph" w:customStyle="1" w:styleId="61">
    <w:name w:val="xl94"/>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Arial" w:hAnsi="Arial" w:eastAsia="Times New Roman" w:cs="Arial"/>
      <w:b/>
      <w:bCs/>
      <w:color w:val="000000"/>
      <w:sz w:val="18"/>
      <w:szCs w:val="18"/>
      <w:lang w:eastAsia="pt-BR"/>
    </w:rPr>
  </w:style>
  <w:style w:type="paragraph" w:customStyle="1" w:styleId="62">
    <w:name w:val="xl95"/>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Arial" w:hAnsi="Arial" w:eastAsia="Times New Roman" w:cs="Arial"/>
      <w:b/>
      <w:bCs/>
      <w:color w:val="000000"/>
      <w:sz w:val="18"/>
      <w:szCs w:val="18"/>
      <w:lang w:eastAsia="pt-BR"/>
    </w:rPr>
  </w:style>
  <w:style w:type="paragraph" w:customStyle="1" w:styleId="63">
    <w:name w:val="xl63"/>
    <w:basedOn w:val="1"/>
    <w:qFormat/>
    <w:uiPriority w:val="0"/>
    <w:pPr>
      <w:pBdr>
        <w:top w:val="single" w:color="auto" w:sz="8" w:space="0"/>
        <w:left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16"/>
      <w:szCs w:val="16"/>
      <w:lang w:eastAsia="pt-BR"/>
    </w:rPr>
  </w:style>
  <w:style w:type="paragraph" w:customStyle="1" w:styleId="64">
    <w:name w:val="xl64"/>
    <w:basedOn w:val="1"/>
    <w:qFormat/>
    <w:uiPriority w:val="0"/>
    <w:pPr>
      <w:pBdr>
        <w:left w:val="single" w:color="auto" w:sz="8" w:space="0"/>
        <w:bottom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16"/>
      <w:szCs w:val="16"/>
      <w:lang w:eastAsia="pt-BR"/>
    </w:rPr>
  </w:style>
  <w:style w:type="paragraph" w:customStyle="1" w:styleId="65">
    <w:name w:val="Text body"/>
    <w:basedOn w:val="1"/>
    <w:qFormat/>
    <w:uiPriority w:val="0"/>
    <w:pPr>
      <w:suppressAutoHyphens/>
      <w:autoSpaceDN w:val="0"/>
      <w:spacing w:after="0" w:line="240" w:lineRule="auto"/>
      <w:textAlignment w:val="baseline"/>
    </w:pPr>
    <w:rPr>
      <w:rFonts w:ascii="Arial" w:hAnsi="Arial" w:eastAsia="Arial" w:cs="Arial"/>
      <w:kern w:val="3"/>
      <w:sz w:val="20"/>
      <w:szCs w:val="20"/>
      <w:lang w:val="pt-PT"/>
    </w:rPr>
  </w:style>
  <w:style w:type="character" w:customStyle="1" w:styleId="66">
    <w:name w:val="Título 1 Char"/>
    <w:basedOn w:val="8"/>
    <w:link w:val="2"/>
    <w:qFormat/>
    <w:uiPriority w:val="0"/>
    <w:rPr>
      <w:rFonts w:ascii="Arial" w:hAnsi="Arial" w:eastAsia="Arial" w:cs="Arial"/>
      <w:b/>
      <w:bCs/>
      <w:kern w:val="3"/>
      <w:sz w:val="20"/>
      <w:szCs w:val="20"/>
      <w:lang w:val="pt-PT"/>
    </w:rPr>
  </w:style>
  <w:style w:type="character" w:customStyle="1" w:styleId="67">
    <w:name w:val="Título 2 Char"/>
    <w:basedOn w:val="8"/>
    <w:link w:val="3"/>
    <w:qFormat/>
    <w:uiPriority w:val="9"/>
    <w:rPr>
      <w:rFonts w:asciiTheme="majorHAnsi" w:hAnsiTheme="majorHAnsi" w:eastAsiaTheme="majorEastAsia" w:cstheme="majorBidi"/>
      <w:color w:val="2F5597" w:themeColor="accent1" w:themeShade="BF"/>
      <w:sz w:val="26"/>
      <w:szCs w:val="26"/>
    </w:rPr>
  </w:style>
  <w:style w:type="character" w:customStyle="1" w:styleId="68">
    <w:name w:val="Título 3 Char"/>
    <w:basedOn w:val="8"/>
    <w:link w:val="5"/>
    <w:qFormat/>
    <w:uiPriority w:val="9"/>
    <w:rPr>
      <w:rFonts w:asciiTheme="majorHAnsi" w:hAnsiTheme="majorHAnsi" w:eastAsiaTheme="majorEastAsia" w:cstheme="majorBidi"/>
      <w:color w:val="203864" w:themeColor="accent1" w:themeShade="80"/>
      <w:sz w:val="24"/>
      <w:szCs w:val="24"/>
    </w:rPr>
  </w:style>
  <w:style w:type="character" w:customStyle="1" w:styleId="69">
    <w:name w:val="Texto de balão Char"/>
    <w:basedOn w:val="8"/>
    <w:link w:val="23"/>
    <w:semiHidden/>
    <w:qFormat/>
    <w:uiPriority w:val="99"/>
    <w:rPr>
      <w:rFonts w:ascii="Segoe UI" w:hAnsi="Segoe UI" w:cs="Segoe UI"/>
      <w:sz w:val="18"/>
      <w:szCs w:val="18"/>
    </w:rPr>
  </w:style>
  <w:style w:type="paragraph" w:customStyle="1" w:styleId="70">
    <w:name w:val="Standard"/>
    <w:qFormat/>
    <w:uiPriority w:val="0"/>
    <w:pPr>
      <w:widowControl w:val="0"/>
      <w:suppressAutoHyphens/>
      <w:autoSpaceDN w:val="0"/>
      <w:spacing w:after="0" w:line="240" w:lineRule="auto"/>
      <w:textAlignment w:val="baseline"/>
    </w:pPr>
    <w:rPr>
      <w:rFonts w:ascii="Liberation Serif" w:hAnsi="Liberation Serif" w:eastAsia="SimSun" w:cs="Arial"/>
      <w:kern w:val="3"/>
      <w:sz w:val="24"/>
      <w:szCs w:val="24"/>
      <w:lang w:val="pt-BR" w:eastAsia="zh-CN" w:bidi="hi-IN"/>
    </w:rPr>
  </w:style>
  <w:style w:type="paragraph" w:customStyle="1" w:styleId="71">
    <w:name w:val="TOC Heading"/>
    <w:basedOn w:val="2"/>
    <w:next w:val="1"/>
    <w:unhideWhenUsed/>
    <w:qFormat/>
    <w:uiPriority w:val="39"/>
    <w:pPr>
      <w:keepNext/>
      <w:keepLines/>
      <w:suppressAutoHyphens w:val="0"/>
      <w:autoSpaceDN/>
      <w:spacing w:before="240" w:line="259" w:lineRule="auto"/>
      <w:ind w:left="0"/>
      <w:textAlignment w:val="auto"/>
      <w:outlineLvl w:val="9"/>
    </w:pPr>
    <w:rPr>
      <w:rFonts w:asciiTheme="majorHAnsi" w:hAnsiTheme="majorHAnsi" w:eastAsiaTheme="majorEastAsia" w:cstheme="majorBidi"/>
      <w:b w:val="0"/>
      <w:bCs w:val="0"/>
      <w:color w:val="2F5597" w:themeColor="accent1" w:themeShade="BF"/>
      <w:kern w:val="0"/>
      <w:sz w:val="32"/>
      <w:szCs w:val="32"/>
      <w:lang w:val="pt-BR" w:eastAsia="pt-BR"/>
    </w:rPr>
  </w:style>
  <w:style w:type="character" w:customStyle="1" w:styleId="72">
    <w:name w:val="Título Char"/>
    <w:basedOn w:val="8"/>
    <w:link w:val="16"/>
    <w:qFormat/>
    <w:uiPriority w:val="10"/>
    <w:rPr>
      <w:rFonts w:ascii="Times New Roman" w:hAnsi="Times New Roman" w:cs="Times New Roman" w:eastAsiaTheme="majorEastAsia"/>
      <w:b/>
      <w:bCs/>
      <w:spacing w:val="-10"/>
      <w:kern w:val="28"/>
      <w:sz w:val="24"/>
      <w:szCs w:val="24"/>
    </w:rPr>
  </w:style>
  <w:style w:type="paragraph" w:styleId="73">
    <w:name w:val="No Spacing"/>
    <w:qFormat/>
    <w:uiPriority w:val="1"/>
    <w:pPr>
      <w:spacing w:after="0" w:line="240" w:lineRule="auto"/>
    </w:pPr>
    <w:rPr>
      <w:rFonts w:asciiTheme="minorHAnsi" w:hAnsiTheme="minorHAnsi" w:eastAsiaTheme="minorHAnsi" w:cstheme="minorBidi"/>
      <w:sz w:val="22"/>
      <w:szCs w:val="22"/>
      <w:lang w:val="pt-BR" w:eastAsia="en-US" w:bidi="ar-SA"/>
    </w:rPr>
  </w:style>
  <w:style w:type="character" w:customStyle="1" w:styleId="74">
    <w:name w:val="Título 4 Char"/>
    <w:basedOn w:val="8"/>
    <w:link w:val="6"/>
    <w:qFormat/>
    <w:uiPriority w:val="9"/>
    <w:rPr>
      <w:rFonts w:asciiTheme="majorHAnsi" w:hAnsiTheme="majorHAnsi" w:eastAsiaTheme="majorEastAsia" w:cstheme="majorBidi"/>
      <w:i/>
      <w:iCs/>
      <w:color w:val="2F5597" w:themeColor="accent1" w:themeShade="BF"/>
    </w:rPr>
  </w:style>
  <w:style w:type="character" w:customStyle="1" w:styleId="75">
    <w:name w:val="Título 5 Char"/>
    <w:basedOn w:val="8"/>
    <w:link w:val="7"/>
    <w:qFormat/>
    <w:uiPriority w:val="9"/>
    <w:rPr>
      <w:rFonts w:asciiTheme="majorHAnsi" w:hAnsiTheme="majorHAnsi" w:eastAsiaTheme="majorEastAsia" w:cstheme="majorBidi"/>
      <w:color w:val="2F5597" w:themeColor="accent1" w:themeShade="BF"/>
    </w:rPr>
  </w:style>
  <w:style w:type="character" w:customStyle="1" w:styleId="76">
    <w:name w:val="Texto de nota de rodapé Char"/>
    <w:basedOn w:val="8"/>
    <w:link w:val="24"/>
    <w:semiHidden/>
    <w:qFormat/>
    <w:uiPriority w:val="99"/>
    <w:rPr>
      <w:sz w:val="20"/>
      <w:szCs w:val="20"/>
    </w:rPr>
  </w:style>
  <w:style w:type="paragraph" w:customStyle="1" w:styleId="77">
    <w:name w:val="Table Contents"/>
    <w:basedOn w:val="70"/>
    <w:qFormat/>
    <w:uiPriority w:val="99"/>
    <w:pPr>
      <w:widowControl/>
      <w:suppressLineNumbers/>
    </w:pPr>
    <w:rPr>
      <w:rFonts w:ascii="Tahoma" w:hAnsi="Tahoma" w:eastAsia="Times New Roman" w:cs="Times New Roman"/>
      <w:sz w:val="20"/>
      <w:szCs w:val="20"/>
      <w:lang w:val="pt-PT" w:bidi="ar-SA"/>
    </w:rPr>
  </w:style>
  <w:style w:type="character" w:customStyle="1" w:styleId="78">
    <w:name w:val="selectable-text"/>
    <w:basedOn w:val="8"/>
    <w:qFormat/>
    <w:uiPriority w:val="0"/>
  </w:style>
  <w:style w:type="character" w:customStyle="1" w:styleId="79">
    <w:name w:val="Corpo de texto Char"/>
    <w:basedOn w:val="8"/>
    <w:link w:val="4"/>
    <w:qFormat/>
    <w:uiPriority w:val="0"/>
  </w:style>
  <w:style w:type="paragraph" w:customStyle="1" w:styleId="80">
    <w:name w:val="Table Paragraph"/>
    <w:basedOn w:val="1"/>
    <w:qFormat/>
    <w:uiPriority w:val="1"/>
    <w:pPr>
      <w:widowControl w:val="0"/>
      <w:autoSpaceDE w:val="0"/>
      <w:autoSpaceDN w:val="0"/>
      <w:spacing w:after="0" w:line="255" w:lineRule="exact"/>
      <w:ind w:left="10"/>
      <w:jc w:val="center"/>
    </w:pPr>
    <w:rPr>
      <w:rFonts w:ascii="Arial MT" w:hAnsi="Arial MT" w:eastAsia="Arial MT" w:cs="Arial MT"/>
      <w:lang w:val="pt-PT"/>
    </w:rPr>
  </w:style>
  <w:style w:type="character" w:customStyle="1" w:styleId="81">
    <w:name w:val="Unresolved Mention"/>
    <w:basedOn w:val="8"/>
    <w:semiHidden/>
    <w:unhideWhenUsed/>
    <w:qFormat/>
    <w:uiPriority w:val="99"/>
    <w:rPr>
      <w:color w:val="605E5C"/>
      <w:shd w:val="clear" w:color="auto" w:fill="E1DFDD"/>
    </w:rPr>
  </w:style>
  <w:style w:type="character" w:customStyle="1" w:styleId="82">
    <w:name w:val="Parágrafo da Lista Char"/>
    <w:basedOn w:val="8"/>
    <w:link w:val="30"/>
    <w:qFormat/>
    <w:uiPriority w:val="1"/>
  </w:style>
  <w:style w:type="paragraph" w:customStyle="1" w:styleId="83">
    <w:name w:val="Standard (user)"/>
    <w:qFormat/>
    <w:uiPriority w:val="0"/>
    <w:pPr>
      <w:suppressAutoHyphens/>
      <w:autoSpaceDN w:val="0"/>
      <w:spacing w:after="0" w:line="240" w:lineRule="auto"/>
      <w:textAlignment w:val="baseline"/>
    </w:pPr>
    <w:rPr>
      <w:rFonts w:ascii="Times New Roman" w:hAnsi="Times New Roman" w:eastAsia="Times New Roman" w:cs="Times New Roman"/>
      <w:kern w:val="3"/>
      <w:sz w:val="24"/>
      <w:szCs w:val="24"/>
      <w:lang w:val="pt-BR" w:eastAsia="zh-CN" w:bidi="hi-I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png"/><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emf"/><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chart" Target="charts/chart1.xml"/><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file:///C:\Users\Policlinica\Desktop\QUALIDADE\_QUALIDADE\002_SETOR%20-%20NSP\INDICADORES%20-%20GEST&#195;O%20A%20VISTA\INDICADORES%20DE%20NOTIFICA&#199;&#213;ES%20-%20NS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494626262603"/>
          <c:y val="0.0266653424812154"/>
          <c:w val="0.752372265056233"/>
          <c:h val="0.793697385523073"/>
        </c:manualLayout>
      </c:layout>
      <c:barChart>
        <c:barDir val="col"/>
        <c:grouping val="clustered"/>
        <c:varyColors val="0"/>
        <c:ser>
          <c:idx val="0"/>
          <c:order val="0"/>
          <c:tx>
            <c:strRef>
              <c:f>'[INDICADORES DE NOTIFICAÇÕES - NSP.xlsx]FOR.GQ.018 MODELO DE INDICADOR'!$D$10</c:f>
              <c:strCache>
                <c:ptCount val="1"/>
                <c:pt idx="0">
                  <c:v>ANO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t-BR"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multiLvlStrRef>
              <c:f>'[INDICADORES DE NOTIFICAÇÕES - NSP.xlsx]FOR.GQ.018 MODELO DE INDICADOR'!$E$8:$Q$9</c:f>
              <c:multiLvlStrCache>
                <c:ptCount val="13"/>
                <c:lvl/>
                <c:lvl>
                  <c:pt idx="0" c:formatCode="0.00">
                    <c:v>Jan</c:v>
                  </c:pt>
                  <c:pt idx="1" c:formatCode="0.00">
                    <c:v>Fev</c:v>
                  </c:pt>
                  <c:pt idx="2" c:formatCode="0.00">
                    <c:v>Mar</c:v>
                  </c:pt>
                  <c:pt idx="3" c:formatCode="0.00">
                    <c:v>Abr</c:v>
                  </c:pt>
                  <c:pt idx="4" c:formatCode="0.00">
                    <c:v>Mai</c:v>
                  </c:pt>
                  <c:pt idx="5" c:formatCode="0.00">
                    <c:v>Jun</c:v>
                  </c:pt>
                  <c:pt idx="6" c:formatCode="0.00">
                    <c:v>Jul</c:v>
                  </c:pt>
                  <c:pt idx="7" c:formatCode="0.00">
                    <c:v>Ago</c:v>
                  </c:pt>
                  <c:pt idx="8" c:formatCode="0.00">
                    <c:v>Set</c:v>
                  </c:pt>
                  <c:pt idx="9" c:formatCode="0.00">
                    <c:v>Out</c:v>
                  </c:pt>
                  <c:pt idx="10" c:formatCode="0.00">
                    <c:v>Nov</c:v>
                  </c:pt>
                  <c:pt idx="11" c:formatCode="0.00">
                    <c:v>Dez</c:v>
                  </c:pt>
                  <c:pt idx="12" c:formatCode="0.00">
                    <c:v>média anual</c:v>
                  </c:pt>
                </c:lvl>
              </c:multiLvlStrCache>
            </c:multiLvlStrRef>
          </c:cat>
          <c:val>
            <c:numRef>
              <c:f>'[INDICADORES DE NOTIFICAÇÕES - NSP.xlsx]FOR.GQ.018 MODELO DE INDICADOR'!$E$10:$Q$10</c:f>
              <c:numCache>
                <c:formatCode>0</c:formatCode>
                <c:ptCount val="13"/>
                <c:pt idx="0">
                  <c:v>28</c:v>
                </c:pt>
                <c:pt idx="1">
                  <c:v>14</c:v>
                </c:pt>
                <c:pt idx="2">
                  <c:v>18</c:v>
                </c:pt>
                <c:pt idx="3">
                  <c:v>32</c:v>
                </c:pt>
                <c:pt idx="4">
                  <c:v>10</c:v>
                </c:pt>
                <c:pt idx="5">
                  <c:v>0</c:v>
                </c:pt>
                <c:pt idx="6">
                  <c:v>0</c:v>
                </c:pt>
                <c:pt idx="7">
                  <c:v>0</c:v>
                </c:pt>
                <c:pt idx="8">
                  <c:v>0</c:v>
                </c:pt>
                <c:pt idx="9">
                  <c:v>0</c:v>
                </c:pt>
                <c:pt idx="10">
                  <c:v>0</c:v>
                </c:pt>
                <c:pt idx="11">
                  <c:v>0</c:v>
                </c:pt>
                <c:pt idx="12">
                  <c:v>102</c:v>
                </c:pt>
              </c:numCache>
            </c:numRef>
          </c:val>
        </c:ser>
        <c:ser>
          <c:idx val="2"/>
          <c:order val="2"/>
          <c:tx>
            <c:strRef>
              <c:f>'[INDICADORES DE NOTIFICAÇÕES - NSP.xlsx]FOR.GQ.018 MODELO DE INDICADOR'!$D$12</c:f>
              <c:strCache>
                <c:ptCount val="1"/>
                <c:pt idx="0">
                  <c:v>ANO ANTERIAR</c:v>
                </c:pt>
              </c:strCache>
            </c:strRef>
          </c:tx>
          <c:spPr>
            <a:solidFill>
              <a:schemeClr val="accent3"/>
            </a:solidFill>
            <a:ln>
              <a:noFill/>
            </a:ln>
            <a:effectLst/>
          </c:spPr>
          <c:invertIfNegative val="0"/>
          <c:dLbls>
            <c:dLbl>
              <c:idx val="10"/>
              <c:layout>
                <c:manualLayout>
                  <c:x val="0.028166860054677"/>
                  <c:y val="0.0350074161261623"/>
                </c:manualLayout>
              </c:layout>
              <c:numFmt formatCode="#,##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val>
            <c:numRef>
              <c:f>'[INDICADORES DE NOTIFICAÇÕES - NSP.xlsx]FOR.GQ.018 MODELO DE INDICADOR'!$E$12:$P$12</c:f>
              <c:numCache>
                <c:formatCode>0</c:formatCode>
                <c:ptCount val="12"/>
                <c:pt idx="0">
                  <c:v>0</c:v>
                </c:pt>
                <c:pt idx="1">
                  <c:v>0</c:v>
                </c:pt>
                <c:pt idx="2">
                  <c:v>0</c:v>
                </c:pt>
                <c:pt idx="3">
                  <c:v>0</c:v>
                </c:pt>
                <c:pt idx="4">
                  <c:v>0</c:v>
                </c:pt>
                <c:pt idx="5">
                  <c:v>0</c:v>
                </c:pt>
                <c:pt idx="6">
                  <c:v>0</c:v>
                </c:pt>
                <c:pt idx="7">
                  <c:v>4</c:v>
                </c:pt>
                <c:pt idx="8">
                  <c:v>8</c:v>
                </c:pt>
                <c:pt idx="9">
                  <c:v>25</c:v>
                </c:pt>
                <c:pt idx="10">
                  <c:v>19</c:v>
                </c:pt>
                <c:pt idx="11">
                  <c:v>37</c:v>
                </c:pt>
              </c:numCache>
            </c:numRef>
          </c:val>
        </c:ser>
        <c:dLbls>
          <c:showLegendKey val="0"/>
          <c:showVal val="0"/>
          <c:showCatName val="0"/>
          <c:showSerName val="0"/>
          <c:showPercent val="0"/>
          <c:showBubbleSize val="0"/>
        </c:dLbls>
        <c:gapWidth val="150"/>
        <c:axId val="40224256"/>
        <c:axId val="40226176"/>
      </c:barChart>
      <c:lineChart>
        <c:grouping val="standard"/>
        <c:varyColors val="0"/>
        <c:ser>
          <c:idx val="1"/>
          <c:order val="1"/>
          <c:tx>
            <c:strRef>
              <c:f>'[INDICADORES DE NOTIFICAÇÕES - NSP.xlsx]FOR.GQ.018 MODELO DE INDICADOR'!$D$11</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multiLvlStrRef>
              <c:f>'[INDICADORES DE NOTIFICAÇÕES - NSP.xlsx]FOR.GQ.018 MODELO DE INDICADOR'!$E$8:$Q$9</c:f>
              <c:multiLvlStrCache>
                <c:ptCount val="13"/>
                <c:lvl/>
                <c:lvl>
                  <c:pt idx="0" c:formatCode="0.00">
                    <c:v>Jan</c:v>
                  </c:pt>
                  <c:pt idx="1" c:formatCode="0.00">
                    <c:v>Fev</c:v>
                  </c:pt>
                  <c:pt idx="2" c:formatCode="0.00">
                    <c:v>Mar</c:v>
                  </c:pt>
                  <c:pt idx="3" c:formatCode="0.00">
                    <c:v>Abr</c:v>
                  </c:pt>
                  <c:pt idx="4" c:formatCode="0.00">
                    <c:v>Mai</c:v>
                  </c:pt>
                  <c:pt idx="5" c:formatCode="0.00">
                    <c:v>Jun</c:v>
                  </c:pt>
                  <c:pt idx="6" c:formatCode="0.00">
                    <c:v>Jul</c:v>
                  </c:pt>
                  <c:pt idx="7" c:formatCode="0.00">
                    <c:v>Ago</c:v>
                  </c:pt>
                  <c:pt idx="8" c:formatCode="0.00">
                    <c:v>Set</c:v>
                  </c:pt>
                  <c:pt idx="9" c:formatCode="0.00">
                    <c:v>Out</c:v>
                  </c:pt>
                  <c:pt idx="10" c:formatCode="0.00">
                    <c:v>Nov</c:v>
                  </c:pt>
                  <c:pt idx="11" c:formatCode="0.00">
                    <c:v>Dez</c:v>
                  </c:pt>
                  <c:pt idx="12" c:formatCode="0.00">
                    <c:v>média anual</c:v>
                  </c:pt>
                </c:lvl>
              </c:multiLvlStrCache>
            </c:multiLvlStrRef>
          </c:cat>
          <c:val>
            <c:numRef>
              <c:f>'[INDICADORES DE NOTIFICAÇÕES - NSP.xlsx]FOR.GQ.018 MODELO DE INDICADOR'!$E$11:$Q$11</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ser>
        <c:dLbls>
          <c:showLegendKey val="0"/>
          <c:showVal val="0"/>
          <c:showCatName val="0"/>
          <c:showSerName val="0"/>
          <c:showPercent val="0"/>
          <c:showBubbleSize val="0"/>
        </c:dLbls>
        <c:marker val="1"/>
        <c:smooth val="0"/>
        <c:axId val="40224256"/>
        <c:axId val="40226176"/>
      </c:lineChart>
      <c:catAx>
        <c:axId val="40224256"/>
        <c:scaling>
          <c:orientation val="minMax"/>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p>
        </c:txPr>
        <c:crossAx val="40226176"/>
        <c:crosses val="autoZero"/>
        <c:auto val="1"/>
        <c:lblAlgn val="ctr"/>
        <c:lblOffset val="100"/>
        <c:tickLblSkip val="1"/>
        <c:noMultiLvlLbl val="0"/>
      </c:catAx>
      <c:valAx>
        <c:axId val="4022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p>
        </c:txPr>
        <c:crossAx val="40224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544e6c8-bd7c-446b-8230-9bdcf0c2a7eb}"/>
      </c:ext>
    </c:extLst>
  </c:chart>
  <c:spPr>
    <a:solidFill>
      <a:schemeClr val="bg1"/>
    </a:solidFill>
    <a:ln w="9525" cap="flat" cmpd="sng" algn="ctr">
      <a:solidFill>
        <a:schemeClr val="tx1">
          <a:lumMod val="15000"/>
          <a:lumOff val="85000"/>
        </a:schemeClr>
      </a:solidFill>
      <a:round/>
    </a:ln>
    <a:effectLst/>
  </c:spPr>
  <c:txPr>
    <a:bodyPr/>
    <a:lstStyle/>
    <a:p>
      <a:pPr>
        <a:defRPr lang="pt-BR"/>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0.87684</cdr:x>
      <cdr:y>0.03139</cdr:y>
    </cdr:from>
    <cdr:to>
      <cdr:x>0.97116</cdr:x>
      <cdr:y>0.31741</cdr:y>
    </cdr:to>
    <cdr:sp>
      <cdr:nvSpPr>
        <cdr:cNvPr id="2" name="Retângulo 1"/>
        <cdr:cNvSpPr/>
      </cdr:nvSpPr>
      <cdr:spPr xmlns:a="http://schemas.openxmlformats.org/drawingml/2006/main">
        <a:xfrm xmlns:a="http://schemas.openxmlformats.org/drawingml/2006/main">
          <a:off x="7241099" y="103754"/>
          <a:ext cx="778951" cy="1173998"/>
        </a:xfrm>
        <a:prstGeom xmlns:a="http://schemas.openxmlformats.org/drawingml/2006/main" prst="rect">
          <a:avLst/>
        </a:prstGeom>
        <a:solidFill>
          <a:srgbClr val="FFFFFF"/>
        </a:solidFill>
        <a:ln w="9525">
          <a:solidFill>
            <a:srgbClr val="000000"/>
          </a:solidFill>
          <a:miter lim="800000"/>
        </a:ln>
      </cdr:spPr>
      <cdr:txBody xmlns:a="http://schemas.openxmlformats.org/drawingml/2006/main">
        <a:bodyPr vert="horz" wrap="square" lIns="27432" tIns="22860" rIns="0" bIns="0" anchor="t" anchorCtr="0" upright="1">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pPr algn="l" rtl="0">
            <a:defRPr sz="1000"/>
          </a:pPr>
          <a:r>
            <a:rPr lang="pt-BR" sz="850" b="0" i="0" u="none" strike="noStrike" baseline="0">
              <a:solidFill>
                <a:srgbClr val="000000"/>
              </a:solidFill>
              <a:latin typeface="Arial" panose="020B0604020202020204"/>
              <a:cs typeface="Arial" panose="020B0604020202020204"/>
            </a:rPr>
            <a:t>Melhor Sentido</a:t>
          </a:r>
          <a:endParaRPr lang="pt-BR" sz="850" b="0" i="0" u="none" strike="noStrike" baseline="0">
            <a:solidFill>
              <a:srgbClr val="000000"/>
            </a:solidFill>
            <a:latin typeface="Arial" panose="020B0604020202020204"/>
            <a:cs typeface="Arial" panose="020B0604020202020204"/>
          </a:endParaRPr>
        </a:p>
      </cdr:txBody>
    </cdr:sp>
  </cdr:relSizeAnchor>
  <cdr:relSizeAnchor xmlns:cdr="http://schemas.openxmlformats.org/drawingml/2006/chartDrawing">
    <cdr:from>
      <cdr:x>0.92116</cdr:x>
      <cdr:y>0.1276</cdr:y>
    </cdr:from>
    <cdr:to>
      <cdr:x>0.92116</cdr:x>
      <cdr:y>0.2594</cdr:y>
    </cdr:to>
    <cdr:sp>
      <cdr:nvSpPr>
        <cdr:cNvPr id="3" name="Conector Reto 2"/>
        <cdr:cNvSpPr/>
      </cdr:nvSpPr>
      <cdr:spPr xmlns:a="http://schemas.openxmlformats.org/drawingml/2006/main">
        <a:xfrm xmlns:a="http://schemas.openxmlformats.org/drawingml/2006/main" flipH="1">
          <a:off x="9243499" y="432969"/>
          <a:ext cx="0" cy="447235"/>
        </a:xfrm>
        <a:prstGeom xmlns:a="http://schemas.openxmlformats.org/drawingml/2006/main" prst="line">
          <a:avLst/>
        </a:prstGeom>
        <a:noFill/>
        <a:ln w="73025">
          <a:solidFill>
            <a:srgbClr val="3366FF"/>
          </a:solidFill>
          <a:round/>
          <a:tailEnd type="triangle" w="med" len="med"/>
        </a:ln>
      </cdr:spPr>
      <cdr:txBody xmlns:a="http://schemas.openxmlformats.org/drawingml/2006/main">
        <a:bodyPr vert="horz" wrap="none" lIns="45720" tIns="45720" rIns="45720" bIns="45720" anchor="t" anchorCtr="0">
          <a:normAutofit/>
        </a:bodyPr>
        <a:lstStyle/>
        <a:p>
          <a:endParaRPr lang="pt-BR"/>
        </a:p>
      </cdr:txBody>
    </cdr:sp>
  </cdr:relSizeAnchor>
  <cdr:relSizeAnchor xmlns:cdr="http://schemas.openxmlformats.org/drawingml/2006/chartDrawing">
    <cdr:from>
      <cdr:x>0.01811</cdr:x>
      <cdr:y>0.3448</cdr:y>
    </cdr:from>
    <cdr:to>
      <cdr:x>0.04789</cdr:x>
      <cdr:y>0.43782</cdr:y>
    </cdr:to>
    <cdr:sp>
      <cdr:nvSpPr>
        <cdr:cNvPr id="4" name="Retângulo 3"/>
        <cdr:cNvSpPr/>
      </cdr:nvSpPr>
      <cdr:spPr xmlns:a="http://schemas.openxmlformats.org/drawingml/2006/main">
        <a:xfrm xmlns:a="http://schemas.openxmlformats.org/drawingml/2006/main">
          <a:off x="181769" y="1169988"/>
          <a:ext cx="298830" cy="315643"/>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pt-BR" sz="1100" b="1"/>
            <a:t>N</a:t>
          </a:r>
          <a:endParaRPr lang="pt-BR" sz="1100" b="1"/>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CF67B-51DC-4AA7-87C0-2E3BEF3B6B91}">
  <ds:schemaRefs/>
</ds:datastoreItem>
</file>

<file path=docProps/app.xml><?xml version="1.0" encoding="utf-8"?>
<Properties xmlns="http://schemas.openxmlformats.org/officeDocument/2006/extended-properties" xmlns:vt="http://schemas.openxmlformats.org/officeDocument/2006/docPropsVTypes">
  <Template>Normal.dotm</Template>
  <Pages>42</Pages>
  <Words>8372</Words>
  <Characters>49551</Characters>
  <Lines>412</Lines>
  <Paragraphs>117</Paragraphs>
  <TotalTime>128</TotalTime>
  <ScaleCrop>false</ScaleCrop>
  <LinksUpToDate>false</LinksUpToDate>
  <CharactersWithSpaces>57853</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2024-11-29T13:58:00Z</dcterms:created>
  <dc:creator>Nathan Gabriel Cruz</dc:creator>
  <cp:lastModifiedBy>Natália Ribeiro</cp:lastModifiedBy>
  <cp:lastPrinted>2025-03-07T10:24:00Z</cp:lastPrinted>
  <dcterms:modified xsi:type="dcterms:W3CDTF">2025-06-09T19:43:52Z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1046-12.2.0.21179</vt:lpwstr>
  </property>
  <property fmtid="{D5CDD505-2E9C-101B-9397-08002B2CF9AE}" pid="3" name="ICV">
    <vt:lpwstr>3D97F738F306471987C80371FB199FEA_12</vt:lpwstr>
  </property>
</Properties>
</file>